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607E" w14:textId="12B18952" w:rsidR="00002CD7" w:rsidRPr="00751DA1" w:rsidRDefault="009C5DFC" w:rsidP="00D36E11">
      <w:pPr>
        <w:spacing w:after="0" w:line="240" w:lineRule="auto"/>
        <w:rPr>
          <w:rFonts w:cs="Arial"/>
          <w:sz w:val="20"/>
          <w:szCs w:val="20"/>
          <w:u w:val="single"/>
        </w:rPr>
      </w:pPr>
      <w:r>
        <w:rPr>
          <w:rFonts w:cs="Arial"/>
          <w:b/>
          <w:sz w:val="20"/>
          <w:szCs w:val="20"/>
          <w:u w:val="single"/>
        </w:rPr>
        <w:t xml:space="preserve">1. </w:t>
      </w:r>
      <w:r w:rsidR="007E38C3" w:rsidRPr="00751DA1">
        <w:rPr>
          <w:rFonts w:cs="Arial"/>
          <w:b/>
          <w:sz w:val="20"/>
          <w:szCs w:val="20"/>
          <w:u w:val="single"/>
        </w:rPr>
        <w:t>Roles and Relevance of Caregivers in the VA Veteran-Directed Care Program</w:t>
      </w:r>
    </w:p>
    <w:p w14:paraId="70125A1A" w14:textId="77777777" w:rsidR="006104A9" w:rsidRDefault="006104A9" w:rsidP="00D36E11">
      <w:pPr>
        <w:spacing w:after="0" w:line="240" w:lineRule="auto"/>
        <w:rPr>
          <w:rFonts w:cs="Arial"/>
          <w:b/>
          <w:sz w:val="20"/>
          <w:szCs w:val="20"/>
        </w:rPr>
      </w:pPr>
    </w:p>
    <w:p w14:paraId="6DBCA174" w14:textId="57D70CC9"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Leah Haverhals, VA</w:t>
      </w:r>
    </w:p>
    <w:p w14:paraId="20448DF5" w14:textId="77777777" w:rsidR="006104A9" w:rsidRDefault="006104A9" w:rsidP="00D36E11">
      <w:pPr>
        <w:spacing w:after="0" w:line="240" w:lineRule="auto"/>
        <w:rPr>
          <w:rFonts w:cs="Arial"/>
          <w:b/>
          <w:bCs/>
          <w:sz w:val="20"/>
          <w:szCs w:val="20"/>
        </w:rPr>
      </w:pPr>
    </w:p>
    <w:p w14:paraId="788ADD9E" w14:textId="0B17848B"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The Department of Veterans Affairs (VA) Veteran-Directed Care (VDC) program enables nursing-home eligible Veterans to remain safely at home through working with Aging and Disability Network Agencies (ADNAs). ADNAs act as Veterans’ community partners, coordinating personalized long-term care services and supports to meet Veterans’ needs. VDC provides </w:t>
      </w:r>
      <w:proofErr w:type="gramStart"/>
      <w:r w:rsidRPr="00F47BE6">
        <w:rPr>
          <w:rFonts w:cs="Arial"/>
          <w:sz w:val="20"/>
          <w:szCs w:val="20"/>
        </w:rPr>
        <w:t>Veterans</w:t>
      </w:r>
      <w:proofErr w:type="gramEnd"/>
      <w:r w:rsidRPr="00F47BE6">
        <w:rPr>
          <w:rFonts w:cs="Arial"/>
          <w:sz w:val="20"/>
          <w:szCs w:val="20"/>
        </w:rPr>
        <w:t xml:space="preserve"> an annual budget to hire caregivers and purchase services. This abstract describes roles and relevance of VDC caregivers based on an evaluation of the mandated rapid expansion of VDC. </w:t>
      </w:r>
      <w:r w:rsidRPr="00F47BE6">
        <w:rPr>
          <w:rFonts w:cs="Arial"/>
          <w:sz w:val="20"/>
          <w:szCs w:val="20"/>
        </w:rPr>
        <w:br/>
      </w:r>
      <w:r w:rsidRPr="00751DA1">
        <w:rPr>
          <w:rFonts w:cs="Arial"/>
          <w:sz w:val="20"/>
          <w:szCs w:val="20"/>
          <w:u w:val="single"/>
        </w:rPr>
        <w:t>Methods:</w:t>
      </w:r>
      <w:r w:rsidRPr="00F47BE6">
        <w:rPr>
          <w:rFonts w:cs="Arial"/>
          <w:sz w:val="20"/>
          <w:szCs w:val="20"/>
        </w:rPr>
        <w:t xml:space="preserve"> From October 2024-June 2025, we conducted n=56 semi-structured phone interviews with n=70 Veterans, caregivers, and staff involved in VDC across 10 VA sites. We applied a team-based, deductive and inductive thematic analytic approach using the Consolidated Framework for Implementation Research (CFIR) 2.0 to identify roles and relevance of VDC caregivers.</w:t>
      </w:r>
      <w:r w:rsidRPr="00F47BE6">
        <w:rPr>
          <w:rFonts w:cs="Arial"/>
          <w:sz w:val="20"/>
          <w:szCs w:val="20"/>
        </w:rPr>
        <w:br/>
      </w:r>
      <w:r w:rsidRPr="00751DA1">
        <w:rPr>
          <w:rFonts w:cs="Arial"/>
          <w:sz w:val="20"/>
          <w:szCs w:val="20"/>
          <w:u w:val="single"/>
        </w:rPr>
        <w:t>Results:</w:t>
      </w:r>
      <w:r w:rsidRPr="00F47BE6">
        <w:rPr>
          <w:rFonts w:cs="Arial"/>
          <w:sz w:val="20"/>
          <w:szCs w:val="20"/>
        </w:rPr>
        <w:t xml:space="preserve"> Participants shared the importance of Veterans selecting and onboarding their preferred </w:t>
      </w:r>
      <w:proofErr w:type="gramStart"/>
      <w:r w:rsidRPr="00F47BE6">
        <w:rPr>
          <w:rFonts w:cs="Arial"/>
          <w:sz w:val="20"/>
          <w:szCs w:val="20"/>
        </w:rPr>
        <w:t>caregivers, and</w:t>
      </w:r>
      <w:proofErr w:type="gramEnd"/>
      <w:r w:rsidRPr="00F47BE6">
        <w:rPr>
          <w:rFonts w:cs="Arial"/>
          <w:sz w:val="20"/>
          <w:szCs w:val="20"/>
        </w:rPr>
        <w:t xml:space="preserve"> valued that VDC allowed spouses and family caregivers to be paid for caring for enrolled Veterans, providing families much needed financial support. VDC funds also enabled hiring non-familial caregivers, allowing family respite and opportunities to return to work, travel, or run errands and relief for caregiving burden. Participants shared VDC-supported caregiving prevented nursing home admissions. Participants noted challenges with the enrollment process when identifying willing caregiver-employees and conducting background checks. </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The role of caregivers in VDC cannot be understated. As the Veteran population rapidly ages and Veterans increasingly prefer to age in place, ensuring timely onboarding of VDC caregivers is crucial. Overall, VDC proved to be highly Veteran-centric in supporting aging Veterans and in alignment with the VA mission to care for Veterans and their families.</w:t>
      </w:r>
    </w:p>
    <w:p w14:paraId="78EAFE22" w14:textId="77777777" w:rsidR="006104A9" w:rsidRDefault="006104A9" w:rsidP="00D36E11">
      <w:pPr>
        <w:spacing w:after="0" w:line="240" w:lineRule="auto"/>
        <w:rPr>
          <w:rFonts w:cs="Arial"/>
          <w:b/>
          <w:sz w:val="20"/>
          <w:szCs w:val="20"/>
        </w:rPr>
      </w:pPr>
    </w:p>
    <w:p w14:paraId="0264E79F" w14:textId="0106B218"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Leah M. </w:t>
      </w:r>
      <w:proofErr w:type="spellStart"/>
      <w:r w:rsidR="007E38C3" w:rsidRPr="00F47BE6">
        <w:rPr>
          <w:rFonts w:cs="Arial"/>
          <w:sz w:val="20"/>
          <w:szCs w:val="20"/>
        </w:rPr>
        <w:t>Haverhals</w:t>
      </w:r>
      <w:proofErr w:type="spellEnd"/>
      <w:r w:rsidR="007E38C3" w:rsidRPr="00F47BE6">
        <w:rPr>
          <w:rFonts w:cs="Arial"/>
          <w:sz w:val="20"/>
          <w:szCs w:val="20"/>
        </w:rPr>
        <w:t>, PhD, MA</w:t>
      </w:r>
      <w:r w:rsidR="00D61F32">
        <w:rPr>
          <w:rFonts w:cs="Arial"/>
          <w:sz w:val="20"/>
          <w:szCs w:val="20"/>
        </w:rPr>
        <w:t xml:space="preserve"> (1,2), </w:t>
      </w:r>
      <w:proofErr w:type="spellStart"/>
      <w:r w:rsidR="007E38C3" w:rsidRPr="00F47BE6">
        <w:rPr>
          <w:rFonts w:cs="Arial"/>
          <w:sz w:val="20"/>
          <w:szCs w:val="20"/>
        </w:rPr>
        <w:t>Krysttel</w:t>
      </w:r>
      <w:proofErr w:type="spellEnd"/>
      <w:r w:rsidR="007E38C3" w:rsidRPr="00F47BE6">
        <w:rPr>
          <w:rFonts w:cs="Arial"/>
          <w:sz w:val="20"/>
          <w:szCs w:val="20"/>
        </w:rPr>
        <w:t xml:space="preserve"> C. Stryczek, MA</w:t>
      </w:r>
      <w:r w:rsidR="00D61F32">
        <w:rPr>
          <w:rFonts w:cs="Arial"/>
          <w:sz w:val="20"/>
          <w:szCs w:val="20"/>
        </w:rPr>
        <w:t xml:space="preserve"> (1), </w:t>
      </w:r>
      <w:r w:rsidR="007E38C3" w:rsidRPr="00F47BE6">
        <w:rPr>
          <w:rFonts w:cs="Arial"/>
          <w:sz w:val="20"/>
          <w:szCs w:val="20"/>
        </w:rPr>
        <w:t>Wendy Hathaway, MA</w:t>
      </w:r>
      <w:r w:rsidR="00D61F32">
        <w:rPr>
          <w:rFonts w:cs="Arial"/>
          <w:sz w:val="20"/>
          <w:szCs w:val="20"/>
        </w:rPr>
        <w:t xml:space="preserve"> (</w:t>
      </w:r>
      <w:r w:rsidR="0006468C">
        <w:rPr>
          <w:rFonts w:cs="Arial"/>
          <w:sz w:val="20"/>
          <w:szCs w:val="20"/>
        </w:rPr>
        <w:t xml:space="preserve">3,4), </w:t>
      </w:r>
      <w:r w:rsidR="007E38C3" w:rsidRPr="00F47BE6">
        <w:rPr>
          <w:rFonts w:cs="Arial"/>
          <w:sz w:val="20"/>
          <w:szCs w:val="20"/>
        </w:rPr>
        <w:t>Pranjal Tyagi, BS</w:t>
      </w:r>
      <w:r w:rsidR="0006468C">
        <w:rPr>
          <w:rFonts w:cs="Arial"/>
          <w:sz w:val="20"/>
          <w:szCs w:val="20"/>
        </w:rPr>
        <w:t xml:space="preserve"> (5), </w:t>
      </w:r>
      <w:r w:rsidR="007E38C3" w:rsidRPr="00F47BE6">
        <w:rPr>
          <w:rFonts w:cs="Arial"/>
          <w:sz w:val="20"/>
          <w:szCs w:val="20"/>
        </w:rPr>
        <w:t>Stuti Dang, MD, MPH</w:t>
      </w:r>
      <w:r w:rsidR="0006468C">
        <w:rPr>
          <w:rFonts w:cs="Arial"/>
          <w:sz w:val="20"/>
          <w:szCs w:val="20"/>
        </w:rPr>
        <w:t xml:space="preserve"> (5,6)</w:t>
      </w:r>
    </w:p>
    <w:p w14:paraId="1088A816" w14:textId="77777777" w:rsidR="006104A9" w:rsidRDefault="006104A9" w:rsidP="00D36E11">
      <w:pPr>
        <w:spacing w:after="0" w:line="240" w:lineRule="auto"/>
        <w:rPr>
          <w:rFonts w:cs="Arial"/>
          <w:sz w:val="20"/>
          <w:szCs w:val="20"/>
        </w:rPr>
      </w:pPr>
    </w:p>
    <w:p w14:paraId="1D6D96A4" w14:textId="6A246020" w:rsidR="00D61F32" w:rsidRPr="00D61F32" w:rsidRDefault="00D61F32" w:rsidP="00D36E11">
      <w:pPr>
        <w:spacing w:after="0" w:line="240" w:lineRule="auto"/>
        <w:rPr>
          <w:rFonts w:cs="Arial"/>
          <w:sz w:val="20"/>
          <w:szCs w:val="20"/>
        </w:rPr>
      </w:pPr>
      <w:r w:rsidRPr="00D61F32">
        <w:rPr>
          <w:rFonts w:cs="Arial"/>
          <w:sz w:val="20"/>
          <w:szCs w:val="20"/>
        </w:rPr>
        <w:t>(1) Rocky Mountain Regional VA Medical Center, VA Eastern Colorado Health Care System</w:t>
      </w:r>
    </w:p>
    <w:p w14:paraId="1038E401" w14:textId="77777777" w:rsidR="00D61F32" w:rsidRPr="00D61F32" w:rsidRDefault="00D61F32" w:rsidP="00D36E11">
      <w:pPr>
        <w:spacing w:after="0" w:line="240" w:lineRule="auto"/>
        <w:rPr>
          <w:rFonts w:cs="Arial"/>
          <w:sz w:val="20"/>
          <w:szCs w:val="20"/>
        </w:rPr>
      </w:pPr>
      <w:r w:rsidRPr="00D61F32">
        <w:rPr>
          <w:rFonts w:cs="Arial"/>
          <w:sz w:val="20"/>
          <w:szCs w:val="20"/>
        </w:rPr>
        <w:t>(2) School of Medicine, University of Colorado Anschutz Medical Campus</w:t>
      </w:r>
    </w:p>
    <w:p w14:paraId="718FA658" w14:textId="77777777" w:rsidR="00D61F32" w:rsidRPr="00D61F32" w:rsidRDefault="00D61F32" w:rsidP="00D36E11">
      <w:pPr>
        <w:spacing w:after="0" w:line="240" w:lineRule="auto"/>
        <w:rPr>
          <w:rFonts w:cs="Arial"/>
          <w:sz w:val="20"/>
          <w:szCs w:val="20"/>
        </w:rPr>
      </w:pPr>
      <w:r w:rsidRPr="00D61F32">
        <w:rPr>
          <w:rFonts w:cs="Arial"/>
          <w:sz w:val="20"/>
          <w:szCs w:val="20"/>
        </w:rPr>
        <w:t>(3) VA Providence Healthcare System</w:t>
      </w:r>
    </w:p>
    <w:p w14:paraId="2EED6FB6" w14:textId="77777777" w:rsidR="00D61F32" w:rsidRPr="00D61F32" w:rsidRDefault="00D61F32" w:rsidP="00D36E11">
      <w:pPr>
        <w:spacing w:after="0" w:line="240" w:lineRule="auto"/>
        <w:rPr>
          <w:rFonts w:cs="Arial"/>
          <w:sz w:val="20"/>
          <w:szCs w:val="20"/>
        </w:rPr>
      </w:pPr>
      <w:r w:rsidRPr="00D61F32">
        <w:rPr>
          <w:rFonts w:cs="Arial"/>
          <w:sz w:val="20"/>
          <w:szCs w:val="20"/>
        </w:rPr>
        <w:t>(4) University of South Florida, Department of Anthropology</w:t>
      </w:r>
    </w:p>
    <w:p w14:paraId="65E368C4" w14:textId="77777777" w:rsidR="00D61F32" w:rsidRPr="00D61F32" w:rsidRDefault="00D61F32" w:rsidP="00D36E11">
      <w:pPr>
        <w:spacing w:after="0" w:line="240" w:lineRule="auto"/>
        <w:rPr>
          <w:rFonts w:cs="Arial"/>
          <w:sz w:val="20"/>
          <w:szCs w:val="20"/>
        </w:rPr>
      </w:pPr>
      <w:r w:rsidRPr="00D61F32">
        <w:rPr>
          <w:rFonts w:cs="Arial"/>
          <w:sz w:val="20"/>
          <w:szCs w:val="20"/>
        </w:rPr>
        <w:t>(5) VA Miami Geriatrics Research Education and Clinical Center (GRECC)</w:t>
      </w:r>
    </w:p>
    <w:p w14:paraId="0236B331" w14:textId="60370443" w:rsidR="00D61F32" w:rsidRPr="00F47BE6" w:rsidRDefault="00D61F32" w:rsidP="00D36E11">
      <w:pPr>
        <w:spacing w:after="0" w:line="240" w:lineRule="auto"/>
        <w:rPr>
          <w:rFonts w:cs="Arial"/>
          <w:sz w:val="20"/>
          <w:szCs w:val="20"/>
        </w:rPr>
      </w:pPr>
      <w:r w:rsidRPr="00D61F32">
        <w:rPr>
          <w:rFonts w:cs="Arial"/>
          <w:sz w:val="20"/>
          <w:szCs w:val="20"/>
        </w:rPr>
        <w:t>(6) University of Miami Miller School of Medicine</w:t>
      </w:r>
    </w:p>
    <w:p w14:paraId="74165D8E" w14:textId="77777777" w:rsidR="00002CD7" w:rsidRDefault="00002CD7" w:rsidP="00D36E11">
      <w:pPr>
        <w:spacing w:after="0" w:line="240" w:lineRule="auto"/>
        <w:rPr>
          <w:rFonts w:cs="Arial"/>
          <w:sz w:val="20"/>
          <w:szCs w:val="20"/>
        </w:rPr>
      </w:pPr>
    </w:p>
    <w:p w14:paraId="056A4BCC" w14:textId="77777777" w:rsidR="006104A9" w:rsidRPr="00F47BE6" w:rsidRDefault="006104A9" w:rsidP="00D36E11">
      <w:pPr>
        <w:spacing w:after="0" w:line="240" w:lineRule="auto"/>
        <w:rPr>
          <w:rFonts w:cs="Arial"/>
          <w:sz w:val="20"/>
          <w:szCs w:val="20"/>
        </w:rPr>
      </w:pPr>
    </w:p>
    <w:p w14:paraId="19100388" w14:textId="21262FCA" w:rsidR="00002CD7" w:rsidRPr="00751DA1" w:rsidRDefault="009C5DFC" w:rsidP="00D36E11">
      <w:pPr>
        <w:spacing w:after="0" w:line="240" w:lineRule="auto"/>
        <w:rPr>
          <w:rFonts w:cs="Arial"/>
          <w:sz w:val="20"/>
          <w:szCs w:val="20"/>
          <w:u w:val="single"/>
        </w:rPr>
      </w:pPr>
      <w:r>
        <w:rPr>
          <w:rFonts w:cs="Arial"/>
          <w:b/>
          <w:sz w:val="20"/>
          <w:szCs w:val="20"/>
          <w:u w:val="single"/>
        </w:rPr>
        <w:t xml:space="preserve">2. </w:t>
      </w:r>
      <w:r w:rsidR="007E38C3" w:rsidRPr="00751DA1">
        <w:rPr>
          <w:rFonts w:cs="Arial"/>
          <w:b/>
          <w:sz w:val="20"/>
          <w:szCs w:val="20"/>
          <w:u w:val="single"/>
        </w:rPr>
        <w:t>Serving those who served: Dementia Caregiving Needs in Guam’s Veteran Community</w:t>
      </w:r>
    </w:p>
    <w:p w14:paraId="1620D254" w14:textId="77777777" w:rsidR="006104A9" w:rsidRDefault="006104A9" w:rsidP="00D36E11">
      <w:pPr>
        <w:spacing w:after="0" w:line="240" w:lineRule="auto"/>
        <w:rPr>
          <w:rFonts w:cs="Arial"/>
          <w:b/>
          <w:sz w:val="20"/>
          <w:szCs w:val="20"/>
        </w:rPr>
      </w:pPr>
    </w:p>
    <w:p w14:paraId="16643507" w14:textId="59EA8C9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Leah Haverhals, VA</w:t>
      </w:r>
    </w:p>
    <w:p w14:paraId="7FDE8839" w14:textId="77777777" w:rsidR="006104A9" w:rsidRDefault="006104A9" w:rsidP="00D36E11">
      <w:pPr>
        <w:spacing w:after="0" w:line="240" w:lineRule="auto"/>
        <w:rPr>
          <w:rFonts w:cs="Arial"/>
          <w:b/>
          <w:bCs/>
          <w:sz w:val="20"/>
          <w:szCs w:val="20"/>
        </w:rPr>
      </w:pPr>
    </w:p>
    <w:p w14:paraId="1D52FF00" w14:textId="0431A6F4"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Guam has some of the highest proportions of United States Veterans per capita, with many managing </w:t>
      </w:r>
      <w:proofErr w:type="gramStart"/>
      <w:r w:rsidRPr="00F47BE6">
        <w:rPr>
          <w:rFonts w:cs="Arial"/>
          <w:sz w:val="20"/>
          <w:szCs w:val="20"/>
        </w:rPr>
        <w:t>dementia</w:t>
      </w:r>
      <w:proofErr w:type="gramEnd"/>
      <w:r w:rsidRPr="00F47BE6">
        <w:rPr>
          <w:rFonts w:cs="Arial"/>
          <w:sz w:val="20"/>
          <w:szCs w:val="20"/>
        </w:rPr>
        <w:t>. The Veterans Health Administration (VA) clinic in Guam provides primary and mental healthcare, with specialty care delivered via telehealth. This abstract describes evaluation efforts that identified challenges for caregivers of Veterans with dementia in Guam.</w:t>
      </w:r>
      <w:r w:rsidRPr="00F47BE6">
        <w:rPr>
          <w:rFonts w:cs="Arial"/>
          <w:sz w:val="20"/>
          <w:szCs w:val="20"/>
        </w:rPr>
        <w:br/>
      </w:r>
      <w:r w:rsidRPr="00751DA1">
        <w:rPr>
          <w:rFonts w:cs="Arial"/>
          <w:sz w:val="20"/>
          <w:szCs w:val="20"/>
          <w:u w:val="single"/>
        </w:rPr>
        <w:t>Methods:</w:t>
      </w:r>
      <w:r w:rsidRPr="00F47BE6">
        <w:rPr>
          <w:rFonts w:cs="Arial"/>
          <w:sz w:val="20"/>
          <w:szCs w:val="20"/>
        </w:rPr>
        <w:t xml:space="preserve"> In 2023, a California VA telehealth hub developed dementia evaluation and management services for Veterans in Guam. During a March 2025 site visit, we interviewed five Veterans’ caregivers about their caregiving experiences and Veterans’ experiences receiving tele-dementia services. We also interviewed four VA leaders, five telehealth service staff, and 11 Guam clinic staff. We applied a team-based, deductive and inductive thematic approach to analyze interview data.</w:t>
      </w:r>
      <w:r w:rsidRPr="00F47BE6">
        <w:rPr>
          <w:rFonts w:cs="Arial"/>
          <w:sz w:val="20"/>
          <w:szCs w:val="20"/>
        </w:rPr>
        <w:br/>
      </w:r>
      <w:r w:rsidRPr="00751DA1">
        <w:rPr>
          <w:rFonts w:cs="Arial"/>
          <w:sz w:val="20"/>
          <w:szCs w:val="20"/>
          <w:u w:val="single"/>
        </w:rPr>
        <w:t>Results:</w:t>
      </w:r>
      <w:r w:rsidRPr="00F47BE6">
        <w:rPr>
          <w:rFonts w:cs="Arial"/>
          <w:sz w:val="20"/>
          <w:szCs w:val="20"/>
        </w:rPr>
        <w:t xml:space="preserve"> Caregivers greatly valued tele-dementia services, feeling they benefited Veterans while providing strategies to manage dementia-related behaviors. Caregivers faced myriad caregiving challenges (e.g., limited respite options, lack of social support), healthcare access challenges (e.g., travel burdens, unreliable internet, challenges navigating time zones), and stress. Caregivers expressed gratitude for services, felt less alone due to support provided, and appreciated longer appointments and dementia-related education. Staff shared that for Veterans with dementia who become confused, having a caregiver manage care and appointments could be the difference between accessing care or falling through the cracks. </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Caregivers of Veterans with dementia in Guam shoulder considerable responsibilities compounded by Guam’s geographic isolation and lack of resources compared to the mainland. We have begun developing a Guam community advisory board to address challenges, foster support, and develop solutions to spur positive changes for caregivers who often feel alone.</w:t>
      </w:r>
    </w:p>
    <w:p w14:paraId="4B88D303" w14:textId="77777777" w:rsidR="006104A9" w:rsidRDefault="006104A9" w:rsidP="00D36E11">
      <w:pPr>
        <w:spacing w:after="0" w:line="240" w:lineRule="auto"/>
        <w:rPr>
          <w:rFonts w:cs="Arial"/>
          <w:b/>
          <w:sz w:val="20"/>
          <w:szCs w:val="20"/>
        </w:rPr>
      </w:pPr>
    </w:p>
    <w:p w14:paraId="140D51FC" w14:textId="171CEBA5"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Leah M. </w:t>
      </w:r>
      <w:proofErr w:type="spellStart"/>
      <w:r w:rsidR="007E38C3" w:rsidRPr="00F47BE6">
        <w:rPr>
          <w:rFonts w:cs="Arial"/>
          <w:sz w:val="20"/>
          <w:szCs w:val="20"/>
        </w:rPr>
        <w:t>Haverhals</w:t>
      </w:r>
      <w:proofErr w:type="spellEnd"/>
      <w:r w:rsidR="007E38C3" w:rsidRPr="00F47BE6">
        <w:rPr>
          <w:rFonts w:cs="Arial"/>
          <w:sz w:val="20"/>
          <w:szCs w:val="20"/>
        </w:rPr>
        <w:t>, PhD, MA</w:t>
      </w:r>
      <w:r w:rsidR="00914033">
        <w:rPr>
          <w:rFonts w:cs="Arial"/>
          <w:sz w:val="20"/>
          <w:szCs w:val="20"/>
        </w:rPr>
        <w:t xml:space="preserve"> (1,2), </w:t>
      </w:r>
      <w:r w:rsidR="007E38C3" w:rsidRPr="00F47BE6">
        <w:rPr>
          <w:rFonts w:cs="Arial"/>
          <w:sz w:val="20"/>
          <w:szCs w:val="20"/>
        </w:rPr>
        <w:t>Marika B. Humber, PhD</w:t>
      </w:r>
      <w:r w:rsidR="00914033">
        <w:rPr>
          <w:rFonts w:cs="Arial"/>
          <w:sz w:val="20"/>
          <w:szCs w:val="20"/>
        </w:rPr>
        <w:t xml:space="preserve"> (3), </w:t>
      </w:r>
      <w:r w:rsidR="007E38C3" w:rsidRPr="00F47BE6">
        <w:rPr>
          <w:rFonts w:cs="Arial"/>
          <w:sz w:val="20"/>
          <w:szCs w:val="20"/>
        </w:rPr>
        <w:t>Marisa-Francesca Lindsey, BS</w:t>
      </w:r>
      <w:r w:rsidR="00914033">
        <w:rPr>
          <w:rFonts w:cs="Arial"/>
          <w:sz w:val="20"/>
          <w:szCs w:val="20"/>
        </w:rPr>
        <w:t xml:space="preserve"> (3), </w:t>
      </w:r>
      <w:r w:rsidR="007E38C3" w:rsidRPr="00F47BE6">
        <w:rPr>
          <w:rFonts w:cs="Arial"/>
          <w:sz w:val="20"/>
          <w:szCs w:val="20"/>
        </w:rPr>
        <w:t>Lynsay Paiko, PhD</w:t>
      </w:r>
      <w:r w:rsidR="00914033">
        <w:rPr>
          <w:rFonts w:cs="Arial"/>
          <w:sz w:val="20"/>
          <w:szCs w:val="20"/>
        </w:rPr>
        <w:t xml:space="preserve"> (3), </w:t>
      </w:r>
      <w:r w:rsidR="007E38C3" w:rsidRPr="00F47BE6">
        <w:rPr>
          <w:rFonts w:cs="Arial"/>
          <w:sz w:val="20"/>
          <w:szCs w:val="20"/>
        </w:rPr>
        <w:t>Christine E. Gould, PhD, ABPP-</w:t>
      </w:r>
      <w:proofErr w:type="spellStart"/>
      <w:r w:rsidR="007E38C3" w:rsidRPr="00F47BE6">
        <w:rPr>
          <w:rFonts w:cs="Arial"/>
          <w:sz w:val="20"/>
          <w:szCs w:val="20"/>
        </w:rPr>
        <w:t>gero</w:t>
      </w:r>
      <w:proofErr w:type="spellEnd"/>
      <w:r w:rsidR="004A4393">
        <w:rPr>
          <w:rFonts w:cs="Arial"/>
          <w:sz w:val="20"/>
          <w:szCs w:val="20"/>
        </w:rPr>
        <w:t xml:space="preserve"> (3,4)</w:t>
      </w:r>
    </w:p>
    <w:p w14:paraId="26317244" w14:textId="77777777" w:rsidR="006104A9" w:rsidRDefault="006104A9" w:rsidP="00D36E11">
      <w:pPr>
        <w:spacing w:after="0" w:line="240" w:lineRule="auto"/>
        <w:rPr>
          <w:sz w:val="20"/>
          <w:szCs w:val="20"/>
        </w:rPr>
      </w:pPr>
    </w:p>
    <w:p w14:paraId="451D50C1" w14:textId="5B13EB29" w:rsidR="00914033" w:rsidRDefault="00914033" w:rsidP="00D36E11">
      <w:pPr>
        <w:spacing w:after="0" w:line="240" w:lineRule="auto"/>
        <w:rPr>
          <w:sz w:val="20"/>
          <w:szCs w:val="20"/>
        </w:rPr>
      </w:pPr>
      <w:r>
        <w:rPr>
          <w:sz w:val="20"/>
          <w:szCs w:val="20"/>
        </w:rPr>
        <w:t>(1)</w:t>
      </w:r>
      <w:r w:rsidRPr="00F47BE6">
        <w:rPr>
          <w:rFonts w:cs="Arial"/>
          <w:sz w:val="20"/>
          <w:szCs w:val="20"/>
        </w:rPr>
        <w:t xml:space="preserve"> Rocky Mountain Regional VA Medical Center, VA Eastern Colorado Health Care System</w:t>
      </w:r>
    </w:p>
    <w:p w14:paraId="10AFD090" w14:textId="77777777" w:rsidR="00914033" w:rsidRDefault="00914033" w:rsidP="00D36E11">
      <w:pPr>
        <w:spacing w:after="0" w:line="240" w:lineRule="auto"/>
        <w:rPr>
          <w:sz w:val="20"/>
          <w:szCs w:val="20"/>
        </w:rPr>
      </w:pPr>
      <w:r>
        <w:rPr>
          <w:sz w:val="20"/>
          <w:szCs w:val="20"/>
        </w:rPr>
        <w:t xml:space="preserve">(2) </w:t>
      </w:r>
      <w:r w:rsidRPr="00F47BE6">
        <w:rPr>
          <w:rFonts w:cs="Arial"/>
          <w:sz w:val="20"/>
          <w:szCs w:val="20"/>
        </w:rPr>
        <w:t>University of Colorado Anschutz Medical Campus, School of Medicine, Division of Health Care Policy &amp; Research</w:t>
      </w:r>
      <w:r w:rsidRPr="00F47BE6">
        <w:rPr>
          <w:rFonts w:cs="Arial"/>
          <w:sz w:val="20"/>
          <w:szCs w:val="20"/>
        </w:rPr>
        <w:br/>
      </w:r>
      <w:r>
        <w:rPr>
          <w:sz w:val="20"/>
          <w:szCs w:val="20"/>
        </w:rPr>
        <w:t xml:space="preserve">(3) </w:t>
      </w:r>
      <w:r w:rsidRPr="00F47BE6">
        <w:rPr>
          <w:rFonts w:cs="Arial"/>
          <w:sz w:val="20"/>
          <w:szCs w:val="20"/>
        </w:rPr>
        <w:t>VA Palo Alto Health Care System, Geriatric Research, Education and Clinical Center</w:t>
      </w:r>
    </w:p>
    <w:p w14:paraId="43E0CCA0" w14:textId="77777777" w:rsidR="00914033" w:rsidRPr="008F7CC4" w:rsidRDefault="00914033" w:rsidP="00D36E11">
      <w:pPr>
        <w:spacing w:after="0" w:line="240" w:lineRule="auto"/>
        <w:rPr>
          <w:sz w:val="20"/>
          <w:szCs w:val="20"/>
        </w:rPr>
      </w:pPr>
      <w:r>
        <w:rPr>
          <w:sz w:val="20"/>
          <w:szCs w:val="20"/>
        </w:rPr>
        <w:t xml:space="preserve">(4) </w:t>
      </w:r>
      <w:r w:rsidRPr="00F47BE6">
        <w:rPr>
          <w:rFonts w:cs="Arial"/>
          <w:sz w:val="20"/>
          <w:szCs w:val="20"/>
        </w:rPr>
        <w:t>Stanford University School of Medicine, Department of Psychiatry &amp; Behavioral Sciences</w:t>
      </w:r>
    </w:p>
    <w:p w14:paraId="6F23A27C" w14:textId="77777777" w:rsidR="00914033" w:rsidRDefault="00914033" w:rsidP="00D36E11">
      <w:pPr>
        <w:spacing w:after="0" w:line="240" w:lineRule="auto"/>
        <w:rPr>
          <w:rFonts w:cs="Arial"/>
          <w:sz w:val="20"/>
          <w:szCs w:val="20"/>
        </w:rPr>
      </w:pPr>
    </w:p>
    <w:p w14:paraId="676C4786" w14:textId="77777777" w:rsidR="006104A9" w:rsidRPr="00F47BE6" w:rsidRDefault="006104A9" w:rsidP="00D36E11">
      <w:pPr>
        <w:spacing w:after="0" w:line="240" w:lineRule="auto"/>
        <w:rPr>
          <w:rFonts w:cs="Arial"/>
          <w:sz w:val="20"/>
          <w:szCs w:val="20"/>
        </w:rPr>
      </w:pPr>
    </w:p>
    <w:p w14:paraId="474B4972" w14:textId="21D706A7" w:rsidR="00002CD7" w:rsidRPr="00751DA1" w:rsidRDefault="00CE43EE" w:rsidP="00D36E11">
      <w:pPr>
        <w:spacing w:after="0" w:line="240" w:lineRule="auto"/>
        <w:rPr>
          <w:rFonts w:cs="Arial"/>
          <w:sz w:val="20"/>
          <w:szCs w:val="20"/>
          <w:u w:val="single"/>
        </w:rPr>
      </w:pPr>
      <w:r>
        <w:rPr>
          <w:rFonts w:cs="Arial"/>
          <w:b/>
          <w:sz w:val="20"/>
          <w:szCs w:val="20"/>
          <w:u w:val="single"/>
        </w:rPr>
        <w:t xml:space="preserve">3. </w:t>
      </w:r>
      <w:r w:rsidR="007E38C3" w:rsidRPr="00751DA1">
        <w:rPr>
          <w:rFonts w:cs="Arial"/>
          <w:b/>
          <w:sz w:val="20"/>
          <w:szCs w:val="20"/>
          <w:u w:val="single"/>
        </w:rPr>
        <w:t>Facilitators and Barriers to Sustaining a Home-Based Long-Term Care Program for Veterans</w:t>
      </w:r>
    </w:p>
    <w:p w14:paraId="76B84B2E" w14:textId="77777777" w:rsidR="007A7813" w:rsidRDefault="007A7813" w:rsidP="00D36E11">
      <w:pPr>
        <w:spacing w:after="0" w:line="240" w:lineRule="auto"/>
        <w:rPr>
          <w:rFonts w:cs="Arial"/>
          <w:b/>
          <w:sz w:val="20"/>
          <w:szCs w:val="20"/>
        </w:rPr>
      </w:pPr>
    </w:p>
    <w:p w14:paraId="2E4D7A2C" w14:textId="06B206B7"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Rachel Fix, VA</w:t>
      </w:r>
    </w:p>
    <w:p w14:paraId="20B5555C" w14:textId="77777777" w:rsidR="007A7813" w:rsidRDefault="007A7813" w:rsidP="00D36E11">
      <w:pPr>
        <w:spacing w:after="0" w:line="240" w:lineRule="auto"/>
        <w:rPr>
          <w:rFonts w:cs="Arial"/>
          <w:b/>
          <w:bCs/>
          <w:sz w:val="20"/>
          <w:szCs w:val="20"/>
        </w:rPr>
      </w:pPr>
    </w:p>
    <w:p w14:paraId="6D54C911" w14:textId="17292677"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E735E4" w:rsidRPr="00751DA1">
        <w:rPr>
          <w:rFonts w:cs="Arial"/>
          <w:sz w:val="20"/>
          <w:szCs w:val="20"/>
          <w:u w:val="single"/>
        </w:rPr>
        <w:t>:</w:t>
      </w:r>
      <w:r w:rsidR="00E735E4">
        <w:rPr>
          <w:rFonts w:cs="Arial"/>
          <w:sz w:val="20"/>
          <w:szCs w:val="20"/>
        </w:rPr>
        <w:t xml:space="preserve"> </w:t>
      </w:r>
      <w:r w:rsidRPr="00F47BE6">
        <w:rPr>
          <w:rFonts w:cs="Arial"/>
          <w:sz w:val="20"/>
          <w:szCs w:val="20"/>
        </w:rPr>
        <w:t>The United States (US) Department of Veterans Affairs (VA) Medical Foster Home (MFH) program is a home-based long-term care option for Veterans requiring nursing home level care. Beginning in 2017, VA sites desiring to open new rural MFH programs could apply for startup funding from the VA Office of Rural Health (ORH). The objective of this abstract is to describe barriers and facilitators to program sustainment from the perspectives of MFH coordinators after funding ended.</w:t>
      </w:r>
      <w:r w:rsidRPr="00F47BE6">
        <w:rPr>
          <w:rFonts w:cs="Arial"/>
          <w:sz w:val="20"/>
          <w:szCs w:val="20"/>
        </w:rPr>
        <w:br/>
      </w:r>
      <w:r w:rsidRPr="00751DA1">
        <w:rPr>
          <w:rFonts w:cs="Arial"/>
          <w:sz w:val="20"/>
          <w:szCs w:val="20"/>
          <w:u w:val="single"/>
        </w:rPr>
        <w:t>Methods</w:t>
      </w:r>
      <w:r w:rsidR="00E735E4" w:rsidRPr="00751DA1">
        <w:rPr>
          <w:rFonts w:cs="Arial"/>
          <w:sz w:val="20"/>
          <w:szCs w:val="20"/>
          <w:u w:val="single"/>
        </w:rPr>
        <w:t>:</w:t>
      </w:r>
      <w:r w:rsidRPr="00F47BE6">
        <w:rPr>
          <w:rFonts w:cs="Arial"/>
          <w:sz w:val="20"/>
          <w:szCs w:val="20"/>
        </w:rPr>
        <w:t xml:space="preserve"> In January and February 2025, we conducted interviews with MFH coordinators at six former VA ORH-funded sites. Four sites received funding from 2017-2019 and two from 2020-2023. We designed a descriptive qualitative interview study using a semi-structured interview guide. We applied a team-based inductive and deductive thematic approach to analysis to identify barriers and facilitators.</w:t>
      </w:r>
      <w:r w:rsidRPr="00F47BE6">
        <w:rPr>
          <w:rFonts w:cs="Arial"/>
          <w:sz w:val="20"/>
          <w:szCs w:val="20"/>
        </w:rPr>
        <w:br/>
      </w:r>
      <w:r w:rsidRPr="00751DA1">
        <w:rPr>
          <w:rFonts w:cs="Arial"/>
          <w:sz w:val="20"/>
          <w:szCs w:val="20"/>
          <w:u w:val="single"/>
        </w:rPr>
        <w:t>Results</w:t>
      </w:r>
      <w:r w:rsidR="00E735E4" w:rsidRPr="00751DA1">
        <w:rPr>
          <w:rFonts w:cs="Arial"/>
          <w:sz w:val="20"/>
          <w:szCs w:val="20"/>
          <w:u w:val="single"/>
        </w:rPr>
        <w:t>:</w:t>
      </w:r>
      <w:r w:rsidRPr="00F47BE6">
        <w:rPr>
          <w:rFonts w:cs="Arial"/>
          <w:sz w:val="20"/>
          <w:szCs w:val="20"/>
        </w:rPr>
        <w:t xml:space="preserve"> Coordinators reported several facilitators and barriers to program sustainment. Facilitators included coordinator role longevity, with more experienced coordinators having increased success identifying qualified caregivers. Local leadership advocating for protecting the MFH coordinator position from multiple collateral duties positively impacted coordinators’ abilities to sustain programs. Finally, coordinators who developed successful strategies to market the program to communities contributed to caregiver recruitment. Barriers to program sustainment included coordinators not receiving timely Veteran referrals from HBPC and other VA departments. Rooms in MFHs are available on a limited basis, and as a result, coordinators do not actively recruit Veterans if there are no rooms open. Thus, coordinators who received inappropriate Veteran referrals could not match Veterans with an available caregiver. Lastly, in rural communities’ coordinators often had to travel long distances to market, open, and sustain MFHs, which limited program growth.  </w:t>
      </w:r>
      <w:r w:rsidRPr="00F47BE6">
        <w:rPr>
          <w:rFonts w:cs="Arial"/>
          <w:sz w:val="20"/>
          <w:szCs w:val="20"/>
        </w:rPr>
        <w:br/>
      </w:r>
      <w:r w:rsidRPr="00751DA1">
        <w:rPr>
          <w:rFonts w:cs="Arial"/>
          <w:sz w:val="20"/>
          <w:szCs w:val="20"/>
          <w:u w:val="single"/>
        </w:rPr>
        <w:t>Conclusion</w:t>
      </w:r>
      <w:r w:rsidR="00E735E4" w:rsidRPr="00751DA1">
        <w:rPr>
          <w:rFonts w:cs="Arial"/>
          <w:sz w:val="20"/>
          <w:szCs w:val="20"/>
          <w:u w:val="single"/>
        </w:rPr>
        <w:t>:</w:t>
      </w:r>
      <w:r w:rsidRPr="00F47BE6">
        <w:rPr>
          <w:rFonts w:cs="Arial"/>
          <w:sz w:val="20"/>
          <w:szCs w:val="20"/>
        </w:rPr>
        <w:t xml:space="preserve"> Evaluating factors influencing sustainment of home-based long-term care programs like the VA MFH program after startup funding ends is critical as the Veteran population rapidly ages and demand for long-term care increases.</w:t>
      </w:r>
    </w:p>
    <w:p w14:paraId="5E50CFF4" w14:textId="77777777" w:rsidR="007A7813" w:rsidRDefault="007A7813" w:rsidP="00D36E11">
      <w:pPr>
        <w:spacing w:after="0" w:line="240" w:lineRule="auto"/>
        <w:rPr>
          <w:rFonts w:cs="Arial"/>
          <w:b/>
          <w:sz w:val="20"/>
          <w:szCs w:val="20"/>
        </w:rPr>
      </w:pPr>
    </w:p>
    <w:p w14:paraId="201E5FB9" w14:textId="679871C0" w:rsidR="00E735E4"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Rachel Fix, LCSW</w:t>
      </w:r>
      <w:r w:rsidR="00E735E4">
        <w:rPr>
          <w:rFonts w:cs="Arial"/>
          <w:sz w:val="20"/>
          <w:szCs w:val="20"/>
        </w:rPr>
        <w:t xml:space="preserve"> (</w:t>
      </w:r>
      <w:r w:rsidR="007E38C3" w:rsidRPr="00F47BE6">
        <w:rPr>
          <w:rFonts w:cs="Arial"/>
          <w:sz w:val="20"/>
          <w:szCs w:val="20"/>
        </w:rPr>
        <w:t>1</w:t>
      </w:r>
      <w:r w:rsidR="00E735E4">
        <w:rPr>
          <w:rFonts w:cs="Arial"/>
          <w:sz w:val="20"/>
          <w:szCs w:val="20"/>
        </w:rPr>
        <w:t>)</w:t>
      </w:r>
      <w:r w:rsidR="007E38C3" w:rsidRPr="00F47BE6">
        <w:rPr>
          <w:rFonts w:cs="Arial"/>
          <w:sz w:val="20"/>
          <w:szCs w:val="20"/>
        </w:rPr>
        <w:t>, Chelsea Manheim, LCSW</w:t>
      </w:r>
      <w:r w:rsidR="00E735E4">
        <w:rPr>
          <w:rFonts w:cs="Arial"/>
          <w:sz w:val="20"/>
          <w:szCs w:val="20"/>
        </w:rPr>
        <w:t xml:space="preserve"> (1)</w:t>
      </w:r>
      <w:r w:rsidR="007E38C3" w:rsidRPr="00F47BE6">
        <w:rPr>
          <w:rFonts w:cs="Arial"/>
          <w:sz w:val="20"/>
          <w:szCs w:val="20"/>
        </w:rPr>
        <w:t xml:space="preserve">, Leah Haverhals, PhD, MA </w:t>
      </w:r>
      <w:r w:rsidR="00E735E4">
        <w:rPr>
          <w:rFonts w:cs="Arial"/>
          <w:sz w:val="20"/>
          <w:szCs w:val="20"/>
        </w:rPr>
        <w:t>(</w:t>
      </w:r>
      <w:r w:rsidR="007E38C3" w:rsidRPr="00F47BE6">
        <w:rPr>
          <w:rFonts w:cs="Arial"/>
          <w:sz w:val="20"/>
          <w:szCs w:val="20"/>
        </w:rPr>
        <w:t>1,2</w:t>
      </w:r>
      <w:r w:rsidR="00E735E4">
        <w:rPr>
          <w:rFonts w:cs="Arial"/>
          <w:sz w:val="20"/>
          <w:szCs w:val="20"/>
        </w:rPr>
        <w:t>)</w:t>
      </w:r>
      <w:r w:rsidR="007E38C3" w:rsidRPr="00F47BE6">
        <w:rPr>
          <w:rFonts w:cs="Arial"/>
          <w:sz w:val="20"/>
          <w:szCs w:val="20"/>
        </w:rPr>
        <w:br/>
      </w:r>
      <w:r w:rsidR="007E38C3" w:rsidRPr="00F47BE6">
        <w:rPr>
          <w:rFonts w:cs="Arial"/>
          <w:sz w:val="20"/>
          <w:szCs w:val="20"/>
        </w:rPr>
        <w:br/>
      </w:r>
      <w:r w:rsidR="00E735E4">
        <w:rPr>
          <w:rFonts w:cs="Arial"/>
          <w:sz w:val="20"/>
          <w:szCs w:val="20"/>
        </w:rPr>
        <w:t>(</w:t>
      </w:r>
      <w:r w:rsidR="007E38C3" w:rsidRPr="00F47BE6">
        <w:rPr>
          <w:rFonts w:cs="Arial"/>
          <w:sz w:val="20"/>
          <w:szCs w:val="20"/>
        </w:rPr>
        <w:t>1</w:t>
      </w:r>
      <w:r w:rsidR="00E735E4">
        <w:rPr>
          <w:rFonts w:cs="Arial"/>
          <w:sz w:val="20"/>
          <w:szCs w:val="20"/>
        </w:rPr>
        <w:t xml:space="preserve">) </w:t>
      </w:r>
      <w:r w:rsidR="007E38C3" w:rsidRPr="00F47BE6">
        <w:rPr>
          <w:rFonts w:cs="Arial"/>
          <w:sz w:val="20"/>
          <w:szCs w:val="20"/>
        </w:rPr>
        <w:t>Department of Veterans Affairs, Eastern Colorado Health Care System</w:t>
      </w:r>
    </w:p>
    <w:p w14:paraId="68B27E45" w14:textId="1B969341" w:rsidR="00002CD7" w:rsidRPr="00F47BE6" w:rsidRDefault="00E735E4" w:rsidP="00D36E11">
      <w:pPr>
        <w:spacing w:after="0" w:line="240" w:lineRule="auto"/>
        <w:rPr>
          <w:rFonts w:cs="Arial"/>
          <w:sz w:val="20"/>
          <w:szCs w:val="20"/>
        </w:rPr>
      </w:pPr>
      <w:r>
        <w:rPr>
          <w:rFonts w:cs="Arial"/>
          <w:sz w:val="20"/>
          <w:szCs w:val="20"/>
        </w:rPr>
        <w:t>(</w:t>
      </w:r>
      <w:r w:rsidR="007E38C3" w:rsidRPr="00F47BE6">
        <w:rPr>
          <w:rFonts w:cs="Arial"/>
          <w:sz w:val="20"/>
          <w:szCs w:val="20"/>
        </w:rPr>
        <w:t>2</w:t>
      </w:r>
      <w:r>
        <w:rPr>
          <w:rFonts w:cs="Arial"/>
          <w:sz w:val="20"/>
          <w:szCs w:val="20"/>
        </w:rPr>
        <w:t xml:space="preserve">) </w:t>
      </w:r>
      <w:r w:rsidR="007E38C3" w:rsidRPr="00F47BE6">
        <w:rPr>
          <w:rFonts w:cs="Arial"/>
          <w:sz w:val="20"/>
          <w:szCs w:val="20"/>
        </w:rPr>
        <w:t>University of Colorado School of Medicine</w:t>
      </w:r>
    </w:p>
    <w:p w14:paraId="22A308E4" w14:textId="77777777" w:rsidR="00002CD7" w:rsidRDefault="00002CD7" w:rsidP="00D36E11">
      <w:pPr>
        <w:spacing w:after="0" w:line="240" w:lineRule="auto"/>
        <w:rPr>
          <w:rFonts w:cs="Arial"/>
          <w:sz w:val="20"/>
          <w:szCs w:val="20"/>
        </w:rPr>
      </w:pPr>
    </w:p>
    <w:p w14:paraId="7C13C6D2" w14:textId="77777777" w:rsidR="007A7813" w:rsidRPr="00F47BE6" w:rsidRDefault="007A7813" w:rsidP="00D36E11">
      <w:pPr>
        <w:spacing w:after="0" w:line="240" w:lineRule="auto"/>
        <w:rPr>
          <w:rFonts w:cs="Arial"/>
          <w:sz w:val="20"/>
          <w:szCs w:val="20"/>
        </w:rPr>
      </w:pPr>
    </w:p>
    <w:p w14:paraId="6398D4EA" w14:textId="21A4AEB9" w:rsidR="00002CD7" w:rsidRPr="00751DA1" w:rsidRDefault="00D92AE4" w:rsidP="00D36E11">
      <w:pPr>
        <w:spacing w:after="0" w:line="240" w:lineRule="auto"/>
        <w:rPr>
          <w:rFonts w:cs="Arial"/>
          <w:sz w:val="20"/>
          <w:szCs w:val="20"/>
          <w:u w:val="single"/>
        </w:rPr>
      </w:pPr>
      <w:r>
        <w:rPr>
          <w:rFonts w:cs="Arial"/>
          <w:b/>
          <w:sz w:val="20"/>
          <w:szCs w:val="20"/>
          <w:u w:val="single"/>
        </w:rPr>
        <w:t xml:space="preserve">4. </w:t>
      </w:r>
      <w:r w:rsidR="007E38C3" w:rsidRPr="00751DA1">
        <w:rPr>
          <w:rFonts w:cs="Arial"/>
          <w:b/>
          <w:sz w:val="20"/>
          <w:szCs w:val="20"/>
          <w:u w:val="single"/>
        </w:rPr>
        <w:t>Creating Pathways Home at the End of Life: The VA Nursing Home to Home Program</w:t>
      </w:r>
    </w:p>
    <w:p w14:paraId="548F0D24" w14:textId="77777777" w:rsidR="007A7813" w:rsidRDefault="007A7813" w:rsidP="00D36E11">
      <w:pPr>
        <w:spacing w:after="0" w:line="240" w:lineRule="auto"/>
        <w:rPr>
          <w:rFonts w:cs="Arial"/>
          <w:b/>
          <w:sz w:val="20"/>
          <w:szCs w:val="20"/>
        </w:rPr>
      </w:pPr>
    </w:p>
    <w:p w14:paraId="792CF6C9" w14:textId="1DBF7242"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Rachel Fix, VA</w:t>
      </w:r>
    </w:p>
    <w:p w14:paraId="5AA3DBE5" w14:textId="77777777" w:rsidR="007A7813" w:rsidRDefault="007A7813" w:rsidP="00D36E11">
      <w:pPr>
        <w:spacing w:after="0" w:line="240" w:lineRule="auto"/>
        <w:rPr>
          <w:rFonts w:cs="Arial"/>
          <w:b/>
          <w:bCs/>
          <w:sz w:val="20"/>
          <w:szCs w:val="20"/>
        </w:rPr>
      </w:pPr>
    </w:p>
    <w:p w14:paraId="4D047ECB" w14:textId="0EF7FCA4"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E735E4" w:rsidRPr="00751DA1">
        <w:rPr>
          <w:rFonts w:cs="Arial"/>
          <w:sz w:val="20"/>
          <w:szCs w:val="20"/>
          <w:u w:val="single"/>
        </w:rPr>
        <w:t>:</w:t>
      </w:r>
      <w:r w:rsidRPr="00F47BE6">
        <w:rPr>
          <w:rFonts w:cs="Arial"/>
          <w:sz w:val="20"/>
          <w:szCs w:val="20"/>
        </w:rPr>
        <w:t xml:space="preserve"> In 2023, the Department of Veterans Affairs (VA) developed the Nursing Home to Home (NHTH) program to support Veterans residing in VA-paid community nursing homes (CNHs) to discharge to the community, including Veterans nearing end of life. Implemented at three VA Medical Centers (VAMCs), nurse (RN) and social worker (SW) dyads partnered with CNHs to identify and assess Veterans for discharge. This abstract describes the process of identifying and supporting Veterans discharged near end of life. </w:t>
      </w:r>
      <w:r w:rsidRPr="00F47BE6">
        <w:rPr>
          <w:rFonts w:cs="Arial"/>
          <w:sz w:val="20"/>
          <w:szCs w:val="20"/>
        </w:rPr>
        <w:br/>
      </w:r>
      <w:r w:rsidRPr="00751DA1">
        <w:rPr>
          <w:rFonts w:cs="Arial"/>
          <w:sz w:val="20"/>
          <w:szCs w:val="20"/>
          <w:u w:val="single"/>
        </w:rPr>
        <w:t>Methods</w:t>
      </w:r>
      <w:r w:rsidR="00E735E4" w:rsidRPr="00751DA1">
        <w:rPr>
          <w:rFonts w:cs="Arial"/>
          <w:sz w:val="20"/>
          <w:szCs w:val="20"/>
          <w:u w:val="single"/>
        </w:rPr>
        <w:t>:</w:t>
      </w:r>
      <w:r w:rsidR="00E735E4">
        <w:rPr>
          <w:rFonts w:cs="Arial"/>
          <w:sz w:val="20"/>
          <w:szCs w:val="20"/>
        </w:rPr>
        <w:t xml:space="preserve"> </w:t>
      </w:r>
      <w:r w:rsidRPr="00F47BE6">
        <w:rPr>
          <w:rFonts w:cs="Arial"/>
          <w:sz w:val="20"/>
          <w:szCs w:val="20"/>
        </w:rPr>
        <w:t xml:space="preserve">From December 2024-March 2025, we conducted three group interviews with VA NHTH dyads across the three VAMCs. By September 2025, N=7 Veterans were discharged to hospice care and N=12 died following NHTH discharge. We analyzed interviews using the Consolidated Framework for Implementation Research (CFIR) 2.0 to identify factors influencing the CNH discharge process. </w:t>
      </w:r>
      <w:r w:rsidRPr="00F47BE6">
        <w:rPr>
          <w:rFonts w:cs="Arial"/>
          <w:sz w:val="20"/>
          <w:szCs w:val="20"/>
        </w:rPr>
        <w:br/>
      </w:r>
      <w:r w:rsidRPr="00751DA1">
        <w:rPr>
          <w:rFonts w:cs="Arial"/>
          <w:sz w:val="20"/>
          <w:szCs w:val="20"/>
          <w:u w:val="single"/>
        </w:rPr>
        <w:t>Results</w:t>
      </w:r>
      <w:r w:rsidR="00E735E4" w:rsidRPr="00751DA1">
        <w:rPr>
          <w:rFonts w:cs="Arial"/>
          <w:sz w:val="20"/>
          <w:szCs w:val="20"/>
          <w:u w:val="single"/>
        </w:rPr>
        <w:t>:</w:t>
      </w:r>
      <w:r w:rsidR="00E735E4">
        <w:rPr>
          <w:rFonts w:cs="Arial"/>
          <w:sz w:val="20"/>
          <w:szCs w:val="20"/>
        </w:rPr>
        <w:t xml:space="preserve"> </w:t>
      </w:r>
      <w:r w:rsidRPr="00F47BE6">
        <w:rPr>
          <w:rFonts w:cs="Arial"/>
          <w:sz w:val="20"/>
          <w:szCs w:val="20"/>
        </w:rPr>
        <w:t xml:space="preserve">NHTH staff emphasized the importance of the dyad model, as RNs focused on medical complexity, while SWs assessed Veterans’ psychosocial needs. Together, dyads facilitated conversations with Veterans and caregivers about goals of care and preferences for dying at home. As NHTH teams gained experience, their </w:t>
      </w:r>
      <w:r w:rsidRPr="00F47BE6">
        <w:rPr>
          <w:rFonts w:cs="Arial"/>
          <w:sz w:val="20"/>
          <w:szCs w:val="20"/>
        </w:rPr>
        <w:lastRenderedPageBreak/>
        <w:t xml:space="preserve">perceptions shifted regarding which Veterans could safely discharge home near end of life. Veterans initially determined ineligible for NHTH due to safety concerns were later determined eligible with the right support in place. Teams emphasized the importance of individualized assessment processes, as Veterans had varying prognoses and support systems. </w:t>
      </w:r>
      <w:r w:rsidRPr="00F47BE6">
        <w:rPr>
          <w:rFonts w:cs="Arial"/>
          <w:sz w:val="20"/>
          <w:szCs w:val="20"/>
        </w:rPr>
        <w:br/>
      </w:r>
      <w:r w:rsidRPr="00751DA1">
        <w:rPr>
          <w:rFonts w:cs="Arial"/>
          <w:sz w:val="20"/>
          <w:szCs w:val="20"/>
          <w:u w:val="single"/>
        </w:rPr>
        <w:t>Conclusion</w:t>
      </w:r>
      <w:r w:rsidR="00E735E4" w:rsidRPr="00751DA1">
        <w:rPr>
          <w:rFonts w:cs="Arial"/>
          <w:sz w:val="20"/>
          <w:szCs w:val="20"/>
          <w:u w:val="single"/>
        </w:rPr>
        <w:t>:</w:t>
      </w:r>
      <w:r w:rsidRPr="00F47BE6">
        <w:rPr>
          <w:rFonts w:cs="Arial"/>
          <w:sz w:val="20"/>
          <w:szCs w:val="20"/>
        </w:rPr>
        <w:t xml:space="preserve"> NHTH identified who preferred to die at home and supported successful transitions. NHTH highlights the value of interdisciplinary assessments and alignment of services with Veterans’ end-of-life preferences.</w:t>
      </w:r>
    </w:p>
    <w:p w14:paraId="052D67F8" w14:textId="77777777" w:rsidR="007A7813" w:rsidRDefault="007A7813" w:rsidP="00D36E11">
      <w:pPr>
        <w:spacing w:after="0" w:line="240" w:lineRule="auto"/>
        <w:rPr>
          <w:rFonts w:cs="Arial"/>
          <w:b/>
          <w:sz w:val="20"/>
          <w:szCs w:val="20"/>
        </w:rPr>
      </w:pPr>
    </w:p>
    <w:p w14:paraId="7624B56F" w14:textId="5B37C27F" w:rsidR="00E735E4"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Rachel Fix, LCSW</w:t>
      </w:r>
      <w:r w:rsidR="00E735E4">
        <w:rPr>
          <w:rFonts w:cs="Arial"/>
          <w:sz w:val="20"/>
          <w:szCs w:val="20"/>
        </w:rPr>
        <w:t xml:space="preserve"> (1)</w:t>
      </w:r>
      <w:r w:rsidR="007E38C3" w:rsidRPr="00F47BE6">
        <w:rPr>
          <w:rFonts w:cs="Arial"/>
          <w:sz w:val="20"/>
          <w:szCs w:val="20"/>
        </w:rPr>
        <w:t>, Chelsea Manheim, LCSW</w:t>
      </w:r>
      <w:r w:rsidR="00E735E4">
        <w:rPr>
          <w:rFonts w:cs="Arial"/>
          <w:sz w:val="20"/>
          <w:szCs w:val="20"/>
        </w:rPr>
        <w:t xml:space="preserve"> (</w:t>
      </w:r>
      <w:r w:rsidR="007E38C3" w:rsidRPr="00F47BE6">
        <w:rPr>
          <w:rFonts w:cs="Arial"/>
          <w:sz w:val="20"/>
          <w:szCs w:val="20"/>
        </w:rPr>
        <w:t>1</w:t>
      </w:r>
      <w:r w:rsidR="00E735E4">
        <w:rPr>
          <w:rFonts w:cs="Arial"/>
          <w:sz w:val="20"/>
          <w:szCs w:val="20"/>
        </w:rPr>
        <w:t>)</w:t>
      </w:r>
      <w:r w:rsidR="007E38C3" w:rsidRPr="00F47BE6">
        <w:rPr>
          <w:rFonts w:cs="Arial"/>
          <w:sz w:val="20"/>
          <w:szCs w:val="20"/>
        </w:rPr>
        <w:t xml:space="preserve">, Leah M. </w:t>
      </w:r>
      <w:proofErr w:type="spellStart"/>
      <w:r w:rsidR="007E38C3" w:rsidRPr="00F47BE6">
        <w:rPr>
          <w:rFonts w:cs="Arial"/>
          <w:sz w:val="20"/>
          <w:szCs w:val="20"/>
        </w:rPr>
        <w:t>Haverhals</w:t>
      </w:r>
      <w:proofErr w:type="spellEnd"/>
      <w:r w:rsidR="007E38C3" w:rsidRPr="00F47BE6">
        <w:rPr>
          <w:rFonts w:cs="Arial"/>
          <w:sz w:val="20"/>
          <w:szCs w:val="20"/>
        </w:rPr>
        <w:t>, PhD</w:t>
      </w:r>
      <w:r w:rsidR="00712A31">
        <w:rPr>
          <w:rFonts w:cs="Arial"/>
          <w:sz w:val="20"/>
          <w:szCs w:val="20"/>
        </w:rPr>
        <w:t>, MA</w:t>
      </w:r>
      <w:r w:rsidR="00E735E4">
        <w:rPr>
          <w:rFonts w:cs="Arial"/>
          <w:sz w:val="20"/>
          <w:szCs w:val="20"/>
        </w:rPr>
        <w:t xml:space="preserve"> (1,2)</w:t>
      </w:r>
      <w:r w:rsidR="007E38C3" w:rsidRPr="00F47BE6">
        <w:rPr>
          <w:rFonts w:cs="Arial"/>
          <w:sz w:val="20"/>
          <w:szCs w:val="20"/>
        </w:rPr>
        <w:br/>
      </w:r>
      <w:r w:rsidR="007E38C3" w:rsidRPr="00F47BE6">
        <w:rPr>
          <w:rFonts w:cs="Arial"/>
          <w:sz w:val="20"/>
          <w:szCs w:val="20"/>
        </w:rPr>
        <w:br/>
      </w:r>
      <w:r w:rsidR="00E735E4">
        <w:rPr>
          <w:rFonts w:cs="Arial"/>
          <w:sz w:val="20"/>
          <w:szCs w:val="20"/>
        </w:rPr>
        <w:t>(</w:t>
      </w:r>
      <w:r w:rsidR="00E735E4" w:rsidRPr="00F47BE6">
        <w:rPr>
          <w:rFonts w:cs="Arial"/>
          <w:sz w:val="20"/>
          <w:szCs w:val="20"/>
        </w:rPr>
        <w:t>1</w:t>
      </w:r>
      <w:r w:rsidR="00E735E4">
        <w:rPr>
          <w:rFonts w:cs="Arial"/>
          <w:sz w:val="20"/>
          <w:szCs w:val="20"/>
        </w:rPr>
        <w:t xml:space="preserve">) </w:t>
      </w:r>
      <w:r w:rsidR="00E735E4" w:rsidRPr="00F47BE6">
        <w:rPr>
          <w:rFonts w:cs="Arial"/>
          <w:sz w:val="20"/>
          <w:szCs w:val="20"/>
        </w:rPr>
        <w:t>Department of Veterans Affairs, Eastern Colorado Health Care System</w:t>
      </w:r>
    </w:p>
    <w:p w14:paraId="79514ACC" w14:textId="77777777" w:rsidR="00E735E4" w:rsidRPr="00F47BE6" w:rsidRDefault="00E735E4" w:rsidP="00D36E11">
      <w:pPr>
        <w:spacing w:after="0" w:line="240" w:lineRule="auto"/>
        <w:rPr>
          <w:rFonts w:cs="Arial"/>
          <w:sz w:val="20"/>
          <w:szCs w:val="20"/>
        </w:rPr>
      </w:pPr>
      <w:r>
        <w:rPr>
          <w:rFonts w:cs="Arial"/>
          <w:sz w:val="20"/>
          <w:szCs w:val="20"/>
        </w:rPr>
        <w:t>(</w:t>
      </w:r>
      <w:r w:rsidRPr="00F47BE6">
        <w:rPr>
          <w:rFonts w:cs="Arial"/>
          <w:sz w:val="20"/>
          <w:szCs w:val="20"/>
        </w:rPr>
        <w:t>2</w:t>
      </w:r>
      <w:r>
        <w:rPr>
          <w:rFonts w:cs="Arial"/>
          <w:sz w:val="20"/>
          <w:szCs w:val="20"/>
        </w:rPr>
        <w:t xml:space="preserve">) </w:t>
      </w:r>
      <w:r w:rsidRPr="00F47BE6">
        <w:rPr>
          <w:rFonts w:cs="Arial"/>
          <w:sz w:val="20"/>
          <w:szCs w:val="20"/>
        </w:rPr>
        <w:t>University of Colorado School of Medicine</w:t>
      </w:r>
    </w:p>
    <w:p w14:paraId="351BA355" w14:textId="77777777" w:rsidR="00002CD7" w:rsidRDefault="00002CD7" w:rsidP="00D36E11">
      <w:pPr>
        <w:spacing w:after="0" w:line="240" w:lineRule="auto"/>
        <w:rPr>
          <w:rFonts w:cs="Arial"/>
          <w:sz w:val="20"/>
          <w:szCs w:val="20"/>
        </w:rPr>
      </w:pPr>
    </w:p>
    <w:p w14:paraId="50E184AB" w14:textId="77777777" w:rsidR="007A7813" w:rsidRPr="00F47BE6" w:rsidRDefault="007A7813" w:rsidP="00D36E11">
      <w:pPr>
        <w:spacing w:after="0" w:line="240" w:lineRule="auto"/>
        <w:rPr>
          <w:rFonts w:cs="Arial"/>
          <w:sz w:val="20"/>
          <w:szCs w:val="20"/>
        </w:rPr>
      </w:pPr>
    </w:p>
    <w:p w14:paraId="7BAAB338" w14:textId="40DCE926" w:rsidR="00002CD7" w:rsidRPr="00751DA1" w:rsidRDefault="009C5DFC" w:rsidP="00D36E11">
      <w:pPr>
        <w:spacing w:after="0" w:line="240" w:lineRule="auto"/>
        <w:rPr>
          <w:rFonts w:cs="Arial"/>
          <w:sz w:val="20"/>
          <w:szCs w:val="20"/>
          <w:u w:val="single"/>
        </w:rPr>
      </w:pPr>
      <w:r>
        <w:rPr>
          <w:rFonts w:cs="Arial"/>
          <w:b/>
          <w:sz w:val="20"/>
          <w:szCs w:val="20"/>
          <w:u w:val="single"/>
        </w:rPr>
        <w:t xml:space="preserve">5. </w:t>
      </w:r>
      <w:r w:rsidR="007E38C3" w:rsidRPr="00751DA1">
        <w:rPr>
          <w:rFonts w:cs="Arial"/>
          <w:b/>
          <w:sz w:val="20"/>
          <w:szCs w:val="20"/>
          <w:u w:val="single"/>
        </w:rPr>
        <w:t>Designing a National Program to Improve Hospice and Palliative Care for Veterans: The I-HOPE QUERI</w:t>
      </w:r>
    </w:p>
    <w:p w14:paraId="78FEFC49" w14:textId="77777777" w:rsidR="006104A9" w:rsidRDefault="006104A9" w:rsidP="00D36E11">
      <w:pPr>
        <w:spacing w:after="0" w:line="240" w:lineRule="auto"/>
        <w:rPr>
          <w:rFonts w:cs="Arial"/>
          <w:b/>
          <w:sz w:val="20"/>
          <w:szCs w:val="20"/>
        </w:rPr>
      </w:pPr>
    </w:p>
    <w:p w14:paraId="5EAA6FD1" w14:textId="4000C7D5"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Leah Haverhals, VA</w:t>
      </w:r>
    </w:p>
    <w:p w14:paraId="41AF99ED" w14:textId="77777777" w:rsidR="006104A9" w:rsidRDefault="006104A9" w:rsidP="00D36E11">
      <w:pPr>
        <w:spacing w:after="0" w:line="240" w:lineRule="auto"/>
        <w:rPr>
          <w:rFonts w:cs="Arial"/>
          <w:b/>
          <w:bCs/>
          <w:sz w:val="20"/>
          <w:szCs w:val="20"/>
        </w:rPr>
      </w:pPr>
    </w:p>
    <w:p w14:paraId="4B908429" w14:textId="6921686A"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The Improving Hospice and Palliative Care Everywhere (I-HOPE) Department of Veterans Affairs (VA) Quality Enhancement Research Initiative (QUERI) program is a five-year quality improvement project that will implement two Evidence-Based Practices (EBPs). The first is to improve referrals and utilization of hospice care for Veterans receiving VA Home Based Primary Care (HBPC), and the second is to increase the provision of tele-palliative care to Veterans in State Veterans Homes (SVHs). This abstract explains the design and pre-implementation phases of both EBPs. </w:t>
      </w:r>
      <w:r w:rsidRPr="00F47BE6">
        <w:rPr>
          <w:rFonts w:cs="Arial"/>
          <w:sz w:val="20"/>
          <w:szCs w:val="20"/>
        </w:rPr>
        <w:br/>
      </w:r>
      <w:r w:rsidRPr="00751DA1">
        <w:rPr>
          <w:rFonts w:cs="Arial"/>
          <w:sz w:val="20"/>
          <w:szCs w:val="20"/>
          <w:u w:val="single"/>
        </w:rPr>
        <w:t>Methods:</w:t>
      </w:r>
      <w:r w:rsidRPr="00F47BE6">
        <w:rPr>
          <w:rFonts w:cs="Arial"/>
          <w:sz w:val="20"/>
          <w:szCs w:val="20"/>
        </w:rPr>
        <w:t xml:space="preserve"> Utilizing a stepped-wedge design, sites in both EBPs will be enrolled in a staggered fashion across four cohorts. The HBPC EBP will engage eight HBPC programs, and will provide HBPC teams data on hospice referrals, coaching, and education on appropriateness of hospice referrals. The SVH EBP will recruit 6-12 </w:t>
      </w:r>
      <w:proofErr w:type="gramStart"/>
      <w:r w:rsidRPr="00F47BE6">
        <w:rPr>
          <w:rFonts w:cs="Arial"/>
          <w:sz w:val="20"/>
          <w:szCs w:val="20"/>
        </w:rPr>
        <w:t>SVHs, and</w:t>
      </w:r>
      <w:proofErr w:type="gramEnd"/>
      <w:r w:rsidRPr="00F47BE6">
        <w:rPr>
          <w:rFonts w:cs="Arial"/>
          <w:sz w:val="20"/>
          <w:szCs w:val="20"/>
        </w:rPr>
        <w:t xml:space="preserve"> will coordinate provision and expansion of VA tele-palliative care to SVH Veterans from VA providers. I-HOPE staff will provide education to SVH staff about palliative care and when to refer Veterans for palliative care. Both EBPs have six-month pre-implementation phases when sites are recruited, leadership is engaged, baseline interviews and surveys are conducted, site champions are identified, process maps are created, implementation plans are drafted, and champions are oriented to program goals and objectives. Following pre-implementation, sites in both EBPs participate in a 15-month implementation period and a 12-month sustainability and </w:t>
      </w:r>
      <w:proofErr w:type="gramStart"/>
      <w:r w:rsidRPr="00F47BE6">
        <w:rPr>
          <w:rFonts w:cs="Arial"/>
          <w:sz w:val="20"/>
          <w:szCs w:val="20"/>
        </w:rPr>
        <w:t>scale out</w:t>
      </w:r>
      <w:proofErr w:type="gramEnd"/>
      <w:r w:rsidRPr="00F47BE6">
        <w:rPr>
          <w:rFonts w:cs="Arial"/>
          <w:sz w:val="20"/>
          <w:szCs w:val="20"/>
        </w:rPr>
        <w:t xml:space="preserve"> phase. </w:t>
      </w:r>
      <w:r w:rsidRPr="00F47BE6">
        <w:rPr>
          <w:rFonts w:cs="Arial"/>
          <w:sz w:val="20"/>
          <w:szCs w:val="20"/>
        </w:rPr>
        <w:br/>
      </w:r>
      <w:r w:rsidRPr="00751DA1">
        <w:rPr>
          <w:rFonts w:cs="Arial"/>
          <w:sz w:val="20"/>
          <w:szCs w:val="20"/>
          <w:u w:val="single"/>
        </w:rPr>
        <w:t>Results:</w:t>
      </w:r>
      <w:r w:rsidRPr="00F47BE6">
        <w:rPr>
          <w:rFonts w:cs="Arial"/>
          <w:sz w:val="20"/>
          <w:szCs w:val="20"/>
        </w:rPr>
        <w:t xml:space="preserve"> Staff conducted 6 baseline interviews and two process mapping sessions with SVH staff and VA palliative care staff, and 9 baseline interviews with HBPC team members. Interview data are analyzed through application of the Tailored Implementation for Chronic Diseases framework. </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Lessons learned from baseline interviews and process mapping during pre-implementation of the I-HOPE program will inform coaching sessions with sites during full implementation phases beginning in October 2026.</w:t>
      </w:r>
    </w:p>
    <w:p w14:paraId="07F74C44" w14:textId="77777777" w:rsidR="006104A9" w:rsidRDefault="006104A9" w:rsidP="00D36E11">
      <w:pPr>
        <w:spacing w:after="0" w:line="240" w:lineRule="auto"/>
        <w:rPr>
          <w:rFonts w:cs="Arial"/>
          <w:b/>
          <w:sz w:val="20"/>
          <w:szCs w:val="20"/>
        </w:rPr>
      </w:pPr>
    </w:p>
    <w:p w14:paraId="022AED91" w14:textId="08B0F6C3"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Leah M. </w:t>
      </w:r>
      <w:proofErr w:type="spellStart"/>
      <w:r w:rsidR="007E38C3" w:rsidRPr="00F47BE6">
        <w:rPr>
          <w:rFonts w:cs="Arial"/>
          <w:sz w:val="20"/>
          <w:szCs w:val="20"/>
        </w:rPr>
        <w:t>Haverhals</w:t>
      </w:r>
      <w:proofErr w:type="spellEnd"/>
      <w:r w:rsidR="007E38C3" w:rsidRPr="00F47BE6">
        <w:rPr>
          <w:rFonts w:cs="Arial"/>
          <w:sz w:val="20"/>
          <w:szCs w:val="20"/>
        </w:rPr>
        <w:t>, PhD, MA</w:t>
      </w:r>
      <w:r w:rsidR="00C13EE9">
        <w:rPr>
          <w:rFonts w:cs="Arial"/>
          <w:sz w:val="20"/>
          <w:szCs w:val="20"/>
        </w:rPr>
        <w:t xml:space="preserve"> (1,2), </w:t>
      </w:r>
      <w:r w:rsidR="007E38C3" w:rsidRPr="00F47BE6">
        <w:rPr>
          <w:rFonts w:cs="Arial"/>
          <w:sz w:val="20"/>
          <w:szCs w:val="20"/>
        </w:rPr>
        <w:t>Christine E. Gould, PhD, ABPP-</w:t>
      </w:r>
      <w:proofErr w:type="spellStart"/>
      <w:r w:rsidR="007E38C3" w:rsidRPr="00F47BE6">
        <w:rPr>
          <w:rFonts w:cs="Arial"/>
          <w:sz w:val="20"/>
          <w:szCs w:val="20"/>
        </w:rPr>
        <w:t>gero</w:t>
      </w:r>
      <w:proofErr w:type="spellEnd"/>
      <w:r w:rsidR="00C13EE9">
        <w:rPr>
          <w:rFonts w:cs="Arial"/>
          <w:sz w:val="20"/>
          <w:szCs w:val="20"/>
        </w:rPr>
        <w:t xml:space="preserve"> (</w:t>
      </w:r>
      <w:r w:rsidR="0059591D">
        <w:rPr>
          <w:rFonts w:cs="Arial"/>
          <w:sz w:val="20"/>
          <w:szCs w:val="20"/>
        </w:rPr>
        <w:t xml:space="preserve">3,4), </w:t>
      </w:r>
      <w:r w:rsidR="007E38C3" w:rsidRPr="00F47BE6">
        <w:rPr>
          <w:rFonts w:cs="Arial"/>
          <w:sz w:val="20"/>
          <w:szCs w:val="20"/>
        </w:rPr>
        <w:t>Samuel Edwards, MD</w:t>
      </w:r>
      <w:r w:rsidR="0059591D">
        <w:rPr>
          <w:rFonts w:cs="Arial"/>
          <w:sz w:val="20"/>
          <w:szCs w:val="20"/>
        </w:rPr>
        <w:t xml:space="preserve"> (5), K</w:t>
      </w:r>
      <w:r w:rsidR="007E38C3" w:rsidRPr="00F47BE6">
        <w:rPr>
          <w:rFonts w:cs="Arial"/>
          <w:sz w:val="20"/>
          <w:szCs w:val="20"/>
        </w:rPr>
        <w:t>ate H. Magid, MPH</w:t>
      </w:r>
      <w:r w:rsidR="0059591D">
        <w:rPr>
          <w:rFonts w:cs="Arial"/>
          <w:sz w:val="20"/>
          <w:szCs w:val="20"/>
        </w:rPr>
        <w:t xml:space="preserve"> (1), </w:t>
      </w:r>
      <w:r w:rsidR="007E38C3" w:rsidRPr="00F47BE6">
        <w:rPr>
          <w:rFonts w:cs="Arial"/>
          <w:sz w:val="20"/>
          <w:szCs w:val="20"/>
        </w:rPr>
        <w:t>Jennifer Kononowech, MSW</w:t>
      </w:r>
      <w:r w:rsidR="0059591D">
        <w:rPr>
          <w:rFonts w:cs="Arial"/>
          <w:sz w:val="20"/>
          <w:szCs w:val="20"/>
        </w:rPr>
        <w:t xml:space="preserve"> (6), </w:t>
      </w:r>
      <w:r w:rsidR="007E38C3" w:rsidRPr="00F47BE6">
        <w:rPr>
          <w:rFonts w:cs="Arial"/>
          <w:sz w:val="20"/>
          <w:szCs w:val="20"/>
        </w:rPr>
        <w:t>Rachel Fix, MSW, LCSW</w:t>
      </w:r>
      <w:r w:rsidR="0059591D">
        <w:rPr>
          <w:rFonts w:cs="Arial"/>
          <w:sz w:val="20"/>
          <w:szCs w:val="20"/>
        </w:rPr>
        <w:t xml:space="preserve"> (1), </w:t>
      </w:r>
      <w:r w:rsidR="007E38C3" w:rsidRPr="00F47BE6">
        <w:rPr>
          <w:rFonts w:cs="Arial"/>
          <w:sz w:val="20"/>
          <w:szCs w:val="20"/>
        </w:rPr>
        <w:t>Chelsea Manheim, MSW, LCSW</w:t>
      </w:r>
      <w:r w:rsidR="0059591D">
        <w:rPr>
          <w:rFonts w:cs="Arial"/>
          <w:sz w:val="20"/>
          <w:szCs w:val="20"/>
        </w:rPr>
        <w:t xml:space="preserve"> (1), </w:t>
      </w:r>
      <w:r w:rsidR="007E38C3" w:rsidRPr="00F47BE6">
        <w:rPr>
          <w:rFonts w:cs="Arial"/>
          <w:sz w:val="20"/>
          <w:szCs w:val="20"/>
        </w:rPr>
        <w:t>Marcie Lee, MPH, MS</w:t>
      </w:r>
      <w:r w:rsidR="0059591D">
        <w:rPr>
          <w:rFonts w:cs="Arial"/>
          <w:sz w:val="20"/>
          <w:szCs w:val="20"/>
        </w:rPr>
        <w:t xml:space="preserve"> (1), </w:t>
      </w:r>
      <w:r w:rsidR="007E38C3" w:rsidRPr="00F47BE6">
        <w:rPr>
          <w:rFonts w:cs="Arial"/>
          <w:sz w:val="20"/>
          <w:szCs w:val="20"/>
        </w:rPr>
        <w:t>Jazmin Beltran, BS</w:t>
      </w:r>
      <w:r w:rsidR="0059591D">
        <w:rPr>
          <w:rFonts w:cs="Arial"/>
          <w:sz w:val="20"/>
          <w:szCs w:val="20"/>
        </w:rPr>
        <w:t xml:space="preserve"> (1)</w:t>
      </w:r>
    </w:p>
    <w:p w14:paraId="637174A0" w14:textId="77777777" w:rsidR="006104A9" w:rsidRDefault="006104A9" w:rsidP="00D36E11">
      <w:pPr>
        <w:spacing w:after="0" w:line="240" w:lineRule="auto"/>
        <w:rPr>
          <w:sz w:val="20"/>
          <w:szCs w:val="20"/>
        </w:rPr>
      </w:pPr>
    </w:p>
    <w:p w14:paraId="05FA1F62" w14:textId="353593BC" w:rsidR="00C13EE9" w:rsidRDefault="00C13EE9" w:rsidP="00D36E11">
      <w:pPr>
        <w:spacing w:after="0" w:line="240" w:lineRule="auto"/>
        <w:rPr>
          <w:sz w:val="20"/>
          <w:szCs w:val="20"/>
        </w:rPr>
      </w:pPr>
      <w:r>
        <w:rPr>
          <w:sz w:val="20"/>
          <w:szCs w:val="20"/>
        </w:rPr>
        <w:t>(1)</w:t>
      </w:r>
      <w:r w:rsidRPr="00F47BE6">
        <w:rPr>
          <w:rFonts w:cs="Arial"/>
          <w:sz w:val="20"/>
          <w:szCs w:val="20"/>
        </w:rPr>
        <w:t xml:space="preserve"> Rocky Mountain Regional VA Medical Center, VA Eastern Colorado Health Care System</w:t>
      </w:r>
    </w:p>
    <w:p w14:paraId="67929777" w14:textId="77777777" w:rsidR="00C13EE9" w:rsidRDefault="00C13EE9" w:rsidP="00D36E11">
      <w:pPr>
        <w:spacing w:after="0" w:line="240" w:lineRule="auto"/>
        <w:rPr>
          <w:sz w:val="20"/>
          <w:szCs w:val="20"/>
        </w:rPr>
      </w:pPr>
      <w:r>
        <w:rPr>
          <w:sz w:val="20"/>
          <w:szCs w:val="20"/>
        </w:rPr>
        <w:t xml:space="preserve">(2) </w:t>
      </w:r>
      <w:r w:rsidRPr="00F47BE6">
        <w:rPr>
          <w:rFonts w:cs="Arial"/>
          <w:sz w:val="20"/>
          <w:szCs w:val="20"/>
        </w:rPr>
        <w:t>University of Colorado Anschutz Medical Campus, School of Medicine, Division of Health Care Policy &amp; Research</w:t>
      </w:r>
      <w:r w:rsidRPr="00F47BE6">
        <w:rPr>
          <w:rFonts w:cs="Arial"/>
          <w:sz w:val="20"/>
          <w:szCs w:val="20"/>
        </w:rPr>
        <w:br/>
      </w:r>
      <w:r>
        <w:rPr>
          <w:sz w:val="20"/>
          <w:szCs w:val="20"/>
        </w:rPr>
        <w:t xml:space="preserve">(3) </w:t>
      </w:r>
      <w:r w:rsidRPr="00F47BE6">
        <w:rPr>
          <w:rFonts w:cs="Arial"/>
          <w:sz w:val="20"/>
          <w:szCs w:val="20"/>
        </w:rPr>
        <w:t>VA Palo Alto Health Care System, Geriatric Research, Education and Clinical Center</w:t>
      </w:r>
    </w:p>
    <w:p w14:paraId="7DC99827" w14:textId="77777777" w:rsidR="00C13EE9" w:rsidRDefault="00C13EE9" w:rsidP="00D36E11">
      <w:pPr>
        <w:spacing w:after="0" w:line="240" w:lineRule="auto"/>
        <w:rPr>
          <w:sz w:val="20"/>
          <w:szCs w:val="20"/>
        </w:rPr>
      </w:pPr>
      <w:r>
        <w:rPr>
          <w:sz w:val="20"/>
          <w:szCs w:val="20"/>
        </w:rPr>
        <w:t xml:space="preserve">(4) </w:t>
      </w:r>
      <w:r w:rsidRPr="00F47BE6">
        <w:rPr>
          <w:rFonts w:cs="Arial"/>
          <w:sz w:val="20"/>
          <w:szCs w:val="20"/>
        </w:rPr>
        <w:t>Stanford University School of Medicine, Department of Psychiatry &amp; Behavioral Sciences</w:t>
      </w:r>
    </w:p>
    <w:p w14:paraId="39DF0DE6" w14:textId="77777777" w:rsidR="00C13EE9" w:rsidRPr="008F7CC4" w:rsidRDefault="00C13EE9" w:rsidP="00D36E11">
      <w:pPr>
        <w:spacing w:after="0" w:line="240" w:lineRule="auto"/>
        <w:rPr>
          <w:sz w:val="20"/>
          <w:szCs w:val="20"/>
        </w:rPr>
      </w:pPr>
      <w:r>
        <w:rPr>
          <w:sz w:val="20"/>
          <w:szCs w:val="20"/>
        </w:rPr>
        <w:t xml:space="preserve">(5) </w:t>
      </w:r>
      <w:r w:rsidRPr="00F47BE6">
        <w:rPr>
          <w:rFonts w:cs="Arial"/>
          <w:sz w:val="20"/>
          <w:szCs w:val="20"/>
        </w:rPr>
        <w:t>VA Portland Health Care System</w:t>
      </w:r>
      <w:r w:rsidRPr="00F47BE6">
        <w:rPr>
          <w:rFonts w:cs="Arial"/>
          <w:sz w:val="20"/>
          <w:szCs w:val="20"/>
        </w:rPr>
        <w:br/>
      </w:r>
      <w:r>
        <w:rPr>
          <w:sz w:val="20"/>
          <w:szCs w:val="20"/>
        </w:rPr>
        <w:t>(6)</w:t>
      </w:r>
      <w:r w:rsidRPr="00F47BE6">
        <w:rPr>
          <w:rFonts w:cs="Arial"/>
          <w:sz w:val="20"/>
          <w:szCs w:val="20"/>
        </w:rPr>
        <w:t xml:space="preserve"> VA Ann Arbor Health Care System, Ann Arbor, MI</w:t>
      </w:r>
    </w:p>
    <w:p w14:paraId="364EBECA" w14:textId="77777777" w:rsidR="00C13EE9" w:rsidRDefault="00C13EE9" w:rsidP="00D36E11">
      <w:pPr>
        <w:spacing w:after="0" w:line="240" w:lineRule="auto"/>
        <w:rPr>
          <w:rFonts w:cs="Arial"/>
          <w:sz w:val="20"/>
          <w:szCs w:val="20"/>
        </w:rPr>
      </w:pPr>
    </w:p>
    <w:p w14:paraId="5714716B" w14:textId="77777777" w:rsidR="006104A9" w:rsidRPr="00F47BE6" w:rsidRDefault="006104A9" w:rsidP="00D36E11">
      <w:pPr>
        <w:spacing w:after="0" w:line="240" w:lineRule="auto"/>
        <w:rPr>
          <w:rFonts w:cs="Arial"/>
          <w:sz w:val="20"/>
          <w:szCs w:val="20"/>
        </w:rPr>
      </w:pPr>
    </w:p>
    <w:p w14:paraId="39E1C4F1" w14:textId="26133E35" w:rsidR="00002CD7" w:rsidRPr="00751DA1" w:rsidRDefault="00C35CBB" w:rsidP="00D36E11">
      <w:pPr>
        <w:spacing w:after="0" w:line="240" w:lineRule="auto"/>
        <w:rPr>
          <w:rFonts w:cs="Arial"/>
          <w:sz w:val="20"/>
          <w:szCs w:val="20"/>
          <w:u w:val="single"/>
        </w:rPr>
      </w:pPr>
      <w:r>
        <w:rPr>
          <w:rFonts w:cs="Arial"/>
          <w:b/>
          <w:sz w:val="20"/>
          <w:szCs w:val="20"/>
          <w:u w:val="single"/>
        </w:rPr>
        <w:t xml:space="preserve">6. </w:t>
      </w:r>
      <w:r w:rsidR="007E38C3" w:rsidRPr="00751DA1">
        <w:rPr>
          <w:rFonts w:cs="Arial"/>
          <w:b/>
          <w:sz w:val="20"/>
          <w:szCs w:val="20"/>
          <w:u w:val="single"/>
        </w:rPr>
        <w:t>Why Veterans Declined Participation in the VA Nursing Home to Home Program</w:t>
      </w:r>
    </w:p>
    <w:p w14:paraId="67D6C05B" w14:textId="77777777" w:rsidR="006104A9" w:rsidRDefault="006104A9" w:rsidP="00D36E11">
      <w:pPr>
        <w:spacing w:after="0" w:line="240" w:lineRule="auto"/>
        <w:rPr>
          <w:rFonts w:cs="Arial"/>
          <w:b/>
          <w:sz w:val="20"/>
          <w:szCs w:val="20"/>
        </w:rPr>
      </w:pPr>
    </w:p>
    <w:p w14:paraId="254D2612" w14:textId="4D1CE053"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Chelsea Manheim, VA</w:t>
      </w:r>
    </w:p>
    <w:p w14:paraId="387B93BB" w14:textId="77777777" w:rsidR="006104A9" w:rsidRDefault="006104A9" w:rsidP="00D36E11">
      <w:pPr>
        <w:spacing w:after="0" w:line="240" w:lineRule="auto"/>
        <w:rPr>
          <w:rFonts w:cs="Arial"/>
          <w:b/>
          <w:bCs/>
          <w:sz w:val="20"/>
          <w:szCs w:val="20"/>
        </w:rPr>
      </w:pPr>
    </w:p>
    <w:p w14:paraId="61D8D648" w14:textId="349E504E" w:rsidR="007A7813"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The Veterans Health Administration (VA) recognized the demand and expense for VA contracted community nursing homes (CNHs) care is projected to continue to increase 156% between 2021 and 2031 from 4.4 billion to $11.3 billion. To address this increase in 2021 the VA  developed, the Nursing Home to Home </w:t>
      </w:r>
      <w:r w:rsidRPr="00F47BE6">
        <w:rPr>
          <w:rFonts w:cs="Arial"/>
          <w:sz w:val="20"/>
          <w:szCs w:val="20"/>
        </w:rPr>
        <w:lastRenderedPageBreak/>
        <w:t>(NHTH) program which supports Veterans residing in VA-paid CNHs to return safely to reside in the community. The NHTH program was piloted at three VA Medical Centers, from 2023-2025. VA nurse and social worker teams at each site assess eligible Veterans through collaboration with CNH staff.</w:t>
      </w:r>
    </w:p>
    <w:p w14:paraId="316F6825" w14:textId="4FB8065C" w:rsidR="007A7813" w:rsidRDefault="007E38C3" w:rsidP="00D36E11">
      <w:pPr>
        <w:spacing w:after="0" w:line="240" w:lineRule="auto"/>
        <w:rPr>
          <w:rFonts w:cs="Arial"/>
          <w:sz w:val="20"/>
          <w:szCs w:val="20"/>
        </w:rPr>
      </w:pPr>
      <w:r w:rsidRPr="00751DA1">
        <w:rPr>
          <w:rFonts w:cs="Arial"/>
          <w:sz w:val="20"/>
          <w:szCs w:val="20"/>
          <w:u w:val="single"/>
        </w:rPr>
        <w:t>Methods:</w:t>
      </w:r>
      <w:r w:rsidRPr="00F47BE6">
        <w:rPr>
          <w:rFonts w:cs="Arial"/>
          <w:sz w:val="20"/>
          <w:szCs w:val="20"/>
        </w:rPr>
        <w:t xml:space="preserve"> We sought to identify factors influencing decision making of </w:t>
      </w:r>
      <w:proofErr w:type="gramStart"/>
      <w:r w:rsidRPr="00F47BE6">
        <w:rPr>
          <w:rFonts w:cs="Arial"/>
          <w:sz w:val="20"/>
          <w:szCs w:val="20"/>
        </w:rPr>
        <w:t>Veterans’</w:t>
      </w:r>
      <w:proofErr w:type="gramEnd"/>
      <w:r w:rsidRPr="00F47BE6">
        <w:rPr>
          <w:rFonts w:cs="Arial"/>
          <w:sz w:val="20"/>
          <w:szCs w:val="20"/>
        </w:rPr>
        <w:t xml:space="preserve"> who declined NHTH participation and remained in CNHs. Through a purposive review of the NHTH dashboard that NHTH nurses and social workers updated daily, we reviewed a total of 52 records across the two years of NHTH program implementation to assess why certain Veterans and/or their caregivers choose not to participate in this program.</w:t>
      </w:r>
    </w:p>
    <w:p w14:paraId="15000ADB" w14:textId="3AD5A6DE" w:rsidR="007A7813" w:rsidRDefault="007E38C3" w:rsidP="00D36E11">
      <w:pPr>
        <w:spacing w:after="0" w:line="240" w:lineRule="auto"/>
        <w:rPr>
          <w:rFonts w:cs="Arial"/>
          <w:sz w:val="20"/>
          <w:szCs w:val="20"/>
        </w:rPr>
      </w:pPr>
      <w:r w:rsidRPr="00751DA1">
        <w:rPr>
          <w:rFonts w:cs="Arial"/>
          <w:sz w:val="20"/>
          <w:szCs w:val="20"/>
          <w:u w:val="single"/>
        </w:rPr>
        <w:t>Results:</w:t>
      </w:r>
      <w:r w:rsidRPr="00F47BE6">
        <w:rPr>
          <w:rFonts w:cs="Arial"/>
          <w:sz w:val="20"/>
          <w:szCs w:val="20"/>
        </w:rPr>
        <w:t xml:space="preserve"> Participation in NHTH is optional for Veterans and their families, and across the two-year launch of NHTH, 70 Veterans successfully discharged to the community, with 66 sharing high satisfaction with NHTH. The primary reasons Veterans and their family members reported for declining NHTH included that: 1) Veterans enjoyed living in the CNH, valuing relationships with other residents; 2) Out-of-pocket costs to finance living in the community; and 3) Families felt they could not provide the level of care Veterans required if they moved home.</w:t>
      </w:r>
    </w:p>
    <w:p w14:paraId="1BBA562F" w14:textId="776FBF05" w:rsidR="00002CD7" w:rsidRPr="00F47BE6" w:rsidRDefault="007E38C3" w:rsidP="00D36E11">
      <w:pPr>
        <w:spacing w:after="0" w:line="240" w:lineRule="auto"/>
        <w:rPr>
          <w:rFonts w:cs="Arial"/>
          <w:sz w:val="20"/>
          <w:szCs w:val="20"/>
        </w:rPr>
      </w:pPr>
      <w:r w:rsidRPr="00751DA1">
        <w:rPr>
          <w:rFonts w:cs="Arial"/>
          <w:sz w:val="20"/>
          <w:szCs w:val="20"/>
          <w:u w:val="single"/>
        </w:rPr>
        <w:t>Discussion/Conclusions:</w:t>
      </w:r>
      <w:r w:rsidRPr="00F47BE6">
        <w:rPr>
          <w:rFonts w:cs="Arial"/>
          <w:sz w:val="20"/>
          <w:szCs w:val="20"/>
        </w:rPr>
        <w:t xml:space="preserve"> As the demand for long-term care increases for Veterans and older adults generally, these challenges are important to address to ensure living in the community is realistic, especially as most older adults prefer aging in place at home. These findings will also inform future NHTH implementation and strategies to engage Veterans.</w:t>
      </w:r>
    </w:p>
    <w:p w14:paraId="4C9F409C" w14:textId="77777777" w:rsidR="006104A9" w:rsidRDefault="006104A9" w:rsidP="00D36E11">
      <w:pPr>
        <w:spacing w:after="0" w:line="240" w:lineRule="auto"/>
        <w:rPr>
          <w:rFonts w:cs="Arial"/>
          <w:b/>
          <w:sz w:val="20"/>
          <w:szCs w:val="20"/>
        </w:rPr>
      </w:pPr>
    </w:p>
    <w:p w14:paraId="56891427" w14:textId="111F4FA1"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Chelsea Manheim, LCSW (1)</w:t>
      </w:r>
      <w:r w:rsidR="00372F09">
        <w:rPr>
          <w:rFonts w:cs="Arial"/>
          <w:sz w:val="20"/>
          <w:szCs w:val="20"/>
        </w:rPr>
        <w:t xml:space="preserve">, </w:t>
      </w:r>
      <w:r w:rsidR="007E38C3" w:rsidRPr="00F47BE6">
        <w:rPr>
          <w:rFonts w:cs="Arial"/>
          <w:sz w:val="20"/>
          <w:szCs w:val="20"/>
        </w:rPr>
        <w:t>Rachel Fix, LCSW (1)</w:t>
      </w:r>
      <w:r w:rsidR="00372F09">
        <w:rPr>
          <w:rFonts w:cs="Arial"/>
          <w:sz w:val="20"/>
          <w:szCs w:val="20"/>
        </w:rPr>
        <w:t xml:space="preserve">, </w:t>
      </w:r>
      <w:r w:rsidR="007E38C3" w:rsidRPr="00F47BE6">
        <w:rPr>
          <w:rFonts w:cs="Arial"/>
          <w:sz w:val="20"/>
          <w:szCs w:val="20"/>
        </w:rPr>
        <w:t>Leah Haverhals, MA, PhD (1</w:t>
      </w:r>
      <w:r w:rsidR="00372F09">
        <w:rPr>
          <w:rFonts w:cs="Arial"/>
          <w:sz w:val="20"/>
          <w:szCs w:val="20"/>
        </w:rPr>
        <w:t>,2</w:t>
      </w:r>
      <w:r w:rsidR="007E38C3" w:rsidRPr="00F47BE6">
        <w:rPr>
          <w:rFonts w:cs="Arial"/>
          <w:sz w:val="20"/>
          <w:szCs w:val="20"/>
        </w:rPr>
        <w:t>)</w:t>
      </w:r>
    </w:p>
    <w:p w14:paraId="63D6F628" w14:textId="77777777" w:rsidR="00002CD7" w:rsidRDefault="00002CD7" w:rsidP="00D36E11">
      <w:pPr>
        <w:spacing w:after="0" w:line="240" w:lineRule="auto"/>
        <w:rPr>
          <w:rFonts w:cs="Arial"/>
          <w:sz w:val="20"/>
          <w:szCs w:val="20"/>
        </w:rPr>
      </w:pPr>
    </w:p>
    <w:p w14:paraId="535EDF49" w14:textId="3A1D5426" w:rsidR="00372F09" w:rsidRPr="00372F09" w:rsidRDefault="00372F09" w:rsidP="00D36E11">
      <w:pPr>
        <w:spacing w:after="0" w:line="240" w:lineRule="auto"/>
        <w:rPr>
          <w:rFonts w:cs="Arial"/>
          <w:sz w:val="20"/>
          <w:szCs w:val="20"/>
        </w:rPr>
      </w:pPr>
      <w:r w:rsidRPr="00372F09">
        <w:rPr>
          <w:rFonts w:cs="Arial"/>
          <w:sz w:val="20"/>
          <w:szCs w:val="20"/>
        </w:rPr>
        <w:t>(1) Rocky Mountain Regional VA Medical Center</w:t>
      </w:r>
    </w:p>
    <w:p w14:paraId="47424A0F" w14:textId="7711D0E4" w:rsidR="00372F09" w:rsidRDefault="00372F09" w:rsidP="00D36E11">
      <w:pPr>
        <w:spacing w:after="0" w:line="240" w:lineRule="auto"/>
        <w:rPr>
          <w:rFonts w:cs="Arial"/>
          <w:sz w:val="20"/>
          <w:szCs w:val="20"/>
        </w:rPr>
      </w:pPr>
      <w:r w:rsidRPr="00372F09">
        <w:rPr>
          <w:rFonts w:cs="Arial"/>
          <w:sz w:val="20"/>
          <w:szCs w:val="20"/>
        </w:rPr>
        <w:t>(2) University of Colorado School of Medicine</w:t>
      </w:r>
    </w:p>
    <w:p w14:paraId="525FCE93" w14:textId="77777777" w:rsidR="006104A9" w:rsidRDefault="006104A9" w:rsidP="00D36E11">
      <w:pPr>
        <w:spacing w:after="0" w:line="240" w:lineRule="auto"/>
        <w:rPr>
          <w:rFonts w:cs="Arial"/>
          <w:sz w:val="20"/>
          <w:szCs w:val="20"/>
        </w:rPr>
      </w:pPr>
    </w:p>
    <w:p w14:paraId="6EEAB20B" w14:textId="77777777" w:rsidR="00372F09" w:rsidRPr="00F47BE6" w:rsidRDefault="00372F09" w:rsidP="00D36E11">
      <w:pPr>
        <w:spacing w:after="0" w:line="240" w:lineRule="auto"/>
        <w:rPr>
          <w:rFonts w:cs="Arial"/>
          <w:sz w:val="20"/>
          <w:szCs w:val="20"/>
        </w:rPr>
      </w:pPr>
    </w:p>
    <w:p w14:paraId="0055C9FA" w14:textId="78F27689" w:rsidR="00002CD7" w:rsidRPr="00751DA1" w:rsidRDefault="00D92AE4" w:rsidP="00D36E11">
      <w:pPr>
        <w:spacing w:after="0" w:line="240" w:lineRule="auto"/>
        <w:rPr>
          <w:rFonts w:cs="Arial"/>
          <w:sz w:val="20"/>
          <w:szCs w:val="20"/>
          <w:u w:val="single"/>
        </w:rPr>
      </w:pPr>
      <w:r>
        <w:rPr>
          <w:rFonts w:cs="Arial"/>
          <w:b/>
          <w:sz w:val="20"/>
          <w:szCs w:val="20"/>
          <w:u w:val="single"/>
        </w:rPr>
        <w:t xml:space="preserve">7. </w:t>
      </w:r>
      <w:r w:rsidR="007E38C3" w:rsidRPr="00751DA1">
        <w:rPr>
          <w:rFonts w:cs="Arial"/>
          <w:b/>
          <w:sz w:val="20"/>
          <w:szCs w:val="20"/>
          <w:u w:val="single"/>
        </w:rPr>
        <w:t>Implementing the VA Nursing Home to Home Pilot Program: Insights from Interdisciplinary Team Members</w:t>
      </w:r>
    </w:p>
    <w:p w14:paraId="2B2496D7" w14:textId="77777777" w:rsidR="007A7813" w:rsidRDefault="007A7813" w:rsidP="00D36E11">
      <w:pPr>
        <w:spacing w:after="0" w:line="240" w:lineRule="auto"/>
        <w:rPr>
          <w:rFonts w:cs="Arial"/>
          <w:b/>
          <w:sz w:val="20"/>
          <w:szCs w:val="20"/>
        </w:rPr>
      </w:pPr>
    </w:p>
    <w:p w14:paraId="763223FB" w14:textId="76AB77EC"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Rachel Fix, VA</w:t>
      </w:r>
    </w:p>
    <w:p w14:paraId="75D91C3E" w14:textId="77777777" w:rsidR="007A7813" w:rsidRDefault="007A7813" w:rsidP="00D36E11">
      <w:pPr>
        <w:spacing w:after="0" w:line="240" w:lineRule="auto"/>
        <w:rPr>
          <w:rFonts w:cs="Arial"/>
          <w:b/>
          <w:bCs/>
          <w:sz w:val="20"/>
          <w:szCs w:val="20"/>
        </w:rPr>
      </w:pPr>
    </w:p>
    <w:p w14:paraId="7C9B3BCF" w14:textId="35BB848E"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712A31" w:rsidRPr="00751DA1">
        <w:rPr>
          <w:rFonts w:cs="Arial"/>
          <w:sz w:val="20"/>
          <w:szCs w:val="20"/>
          <w:u w:val="single"/>
        </w:rPr>
        <w:t>:</w:t>
      </w:r>
      <w:r w:rsidR="00712A31">
        <w:rPr>
          <w:rFonts w:cs="Arial"/>
          <w:sz w:val="20"/>
          <w:szCs w:val="20"/>
        </w:rPr>
        <w:t xml:space="preserve"> </w:t>
      </w:r>
      <w:r w:rsidRPr="00F47BE6">
        <w:rPr>
          <w:rFonts w:cs="Arial"/>
          <w:sz w:val="20"/>
          <w:szCs w:val="20"/>
        </w:rPr>
        <w:t xml:space="preserve">Beginning in 2024, the United States (US) Department of Veterans Affairs (VA) implemented the Nursing Home to Home (NHTH) pilot program at three VA Medical Centers (VAMCs) to support Veterans in VA paid community nursing homes (CNH) to transition back to community living. NHTH pilot programs developed interdisciplinary teams (IDTs) at each VAMC to review potential discharges while reducing gaps in care and supporting comprehensive discharge processes. This abstract describes barriers and facilitators to NHTH implementation from perspectives of NHTH IDT staff. </w:t>
      </w:r>
      <w:r w:rsidRPr="00F47BE6">
        <w:rPr>
          <w:rFonts w:cs="Arial"/>
          <w:sz w:val="20"/>
          <w:szCs w:val="20"/>
        </w:rPr>
        <w:br/>
      </w:r>
      <w:r w:rsidRPr="00751DA1">
        <w:rPr>
          <w:rFonts w:cs="Arial"/>
          <w:sz w:val="20"/>
          <w:szCs w:val="20"/>
          <w:u w:val="single"/>
        </w:rPr>
        <w:t>Methods</w:t>
      </w:r>
      <w:r w:rsidR="00712A31" w:rsidRPr="00751DA1">
        <w:rPr>
          <w:rFonts w:cs="Arial"/>
          <w:sz w:val="20"/>
          <w:szCs w:val="20"/>
          <w:u w:val="single"/>
        </w:rPr>
        <w:t>:</w:t>
      </w:r>
      <w:r w:rsidR="00712A31">
        <w:rPr>
          <w:rFonts w:cs="Arial"/>
          <w:sz w:val="20"/>
          <w:szCs w:val="20"/>
        </w:rPr>
        <w:t xml:space="preserve"> </w:t>
      </w:r>
      <w:r w:rsidRPr="00F47BE6">
        <w:rPr>
          <w:rFonts w:cs="Arial"/>
          <w:sz w:val="20"/>
          <w:szCs w:val="20"/>
        </w:rPr>
        <w:t xml:space="preserve">In February and March 2025, we conducted six focus groups via Microsoft Teams with N=19 NHTH IDT team members across the three VAMCs. IDTs consisted of pharmacists, home-based primary care (HBPC) team members, occupational therapists, social workers, palliative care providers, dieticians, and VA community residential care (CRC) team members. Through this qualitative descriptive study, we applied the Consolidated Framework for Implementation Research (CFIR) 2.0 to identify facilitators and barriers to implementing NHTH. </w:t>
      </w:r>
      <w:r w:rsidRPr="00F47BE6">
        <w:rPr>
          <w:rFonts w:cs="Arial"/>
          <w:sz w:val="20"/>
          <w:szCs w:val="20"/>
        </w:rPr>
        <w:br/>
      </w:r>
      <w:r w:rsidRPr="00751DA1">
        <w:rPr>
          <w:rFonts w:cs="Arial"/>
          <w:sz w:val="20"/>
          <w:szCs w:val="20"/>
          <w:u w:val="single"/>
        </w:rPr>
        <w:t>Results</w:t>
      </w:r>
      <w:r w:rsidR="00712A31" w:rsidRPr="00751DA1">
        <w:rPr>
          <w:rFonts w:cs="Arial"/>
          <w:sz w:val="20"/>
          <w:szCs w:val="20"/>
          <w:u w:val="single"/>
        </w:rPr>
        <w:t>:</w:t>
      </w:r>
      <w:r w:rsidRPr="00F47BE6">
        <w:rPr>
          <w:rFonts w:cs="Arial"/>
          <w:sz w:val="20"/>
          <w:szCs w:val="20"/>
        </w:rPr>
        <w:t xml:space="preserve"> Several factors influenced NHTH implementation. Structure and frequency of IDT meetings facilitated implementation, as meetings were held monthly or as needed. IDTs provided expert recommendations on Veteran discharges and follow-up care, coordinating medical equipment and home modifications to ensure safety. IDTs expressed shared beliefs in NHTH’s mission and found NHTH to be highly </w:t>
      </w:r>
      <w:proofErr w:type="gramStart"/>
      <w:r w:rsidRPr="00F47BE6">
        <w:rPr>
          <w:rFonts w:cs="Arial"/>
          <w:sz w:val="20"/>
          <w:szCs w:val="20"/>
        </w:rPr>
        <w:t>recipient centered</w:t>
      </w:r>
      <w:proofErr w:type="gramEnd"/>
      <w:r w:rsidRPr="00F47BE6">
        <w:rPr>
          <w:rFonts w:cs="Arial"/>
          <w:sz w:val="20"/>
          <w:szCs w:val="20"/>
        </w:rPr>
        <w:t>. Barriers identified included difficulties initially accessing nursing home medical records, workflow compatibility issues, delays in hiring nurses and social workers for NHTH teams, medication reconciliation between CNH and VA pharmacies, and post-discharge care delays. Discharging Veterans sometimes posed challenges, including unsafe home environments, families underestimating Veteran’s care needs, and limited rural resources.</w:t>
      </w:r>
      <w:r w:rsidRPr="00F47BE6">
        <w:rPr>
          <w:rFonts w:cs="Arial"/>
          <w:sz w:val="20"/>
          <w:szCs w:val="20"/>
        </w:rPr>
        <w:br/>
      </w:r>
      <w:r w:rsidRPr="00751DA1">
        <w:rPr>
          <w:rFonts w:cs="Arial"/>
          <w:sz w:val="20"/>
          <w:szCs w:val="20"/>
          <w:u w:val="single"/>
        </w:rPr>
        <w:t>Conclusion</w:t>
      </w:r>
      <w:r w:rsidR="00712A31" w:rsidRPr="00751DA1">
        <w:rPr>
          <w:rFonts w:cs="Arial"/>
          <w:sz w:val="20"/>
          <w:szCs w:val="20"/>
          <w:u w:val="single"/>
        </w:rPr>
        <w:t>:</w:t>
      </w:r>
      <w:r w:rsidRPr="00F47BE6">
        <w:rPr>
          <w:rFonts w:cs="Arial"/>
          <w:sz w:val="20"/>
          <w:szCs w:val="20"/>
        </w:rPr>
        <w:t xml:space="preserve"> NHTH IDT meetings proved instrumental in supporting safe, Veteran-centered discharges and fostered collaboration. As the U.S. shifts to increased long-term care options in the community lessons from NHTH can inform provision of home-based LTSS in and outside the VA.</w:t>
      </w:r>
    </w:p>
    <w:p w14:paraId="72727C94" w14:textId="77777777" w:rsidR="007A7813" w:rsidRDefault="007A7813" w:rsidP="00D36E11">
      <w:pPr>
        <w:spacing w:after="0" w:line="240" w:lineRule="auto"/>
        <w:rPr>
          <w:rFonts w:cs="Arial"/>
          <w:b/>
          <w:sz w:val="20"/>
          <w:szCs w:val="20"/>
        </w:rPr>
      </w:pPr>
    </w:p>
    <w:p w14:paraId="66988E97" w14:textId="251D5C81" w:rsidR="00712A31" w:rsidRDefault="00712A31"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Pr="00F47BE6">
        <w:rPr>
          <w:rFonts w:cs="Arial"/>
          <w:sz w:val="20"/>
          <w:szCs w:val="20"/>
        </w:rPr>
        <w:t>Rachel Fix, LCSW</w:t>
      </w:r>
      <w:r>
        <w:rPr>
          <w:rFonts w:cs="Arial"/>
          <w:sz w:val="20"/>
          <w:szCs w:val="20"/>
        </w:rPr>
        <w:t xml:space="preserve"> (1)</w:t>
      </w:r>
      <w:r w:rsidRPr="00F47BE6">
        <w:rPr>
          <w:rFonts w:cs="Arial"/>
          <w:sz w:val="20"/>
          <w:szCs w:val="20"/>
        </w:rPr>
        <w:t>, Chelsea Manheim, LCSW</w:t>
      </w:r>
      <w:r>
        <w:rPr>
          <w:rFonts w:cs="Arial"/>
          <w:sz w:val="20"/>
          <w:szCs w:val="20"/>
        </w:rPr>
        <w:t xml:space="preserve"> (</w:t>
      </w:r>
      <w:r w:rsidRPr="00F47BE6">
        <w:rPr>
          <w:rFonts w:cs="Arial"/>
          <w:sz w:val="20"/>
          <w:szCs w:val="20"/>
        </w:rPr>
        <w:t>1</w:t>
      </w:r>
      <w:r>
        <w:rPr>
          <w:rFonts w:cs="Arial"/>
          <w:sz w:val="20"/>
          <w:szCs w:val="20"/>
        </w:rPr>
        <w:t>)</w:t>
      </w:r>
      <w:r w:rsidRPr="00F47BE6">
        <w:rPr>
          <w:rFonts w:cs="Arial"/>
          <w:sz w:val="20"/>
          <w:szCs w:val="20"/>
        </w:rPr>
        <w:t xml:space="preserve">, Leah M. </w:t>
      </w:r>
      <w:proofErr w:type="spellStart"/>
      <w:r w:rsidRPr="00F47BE6">
        <w:rPr>
          <w:rFonts w:cs="Arial"/>
          <w:sz w:val="20"/>
          <w:szCs w:val="20"/>
        </w:rPr>
        <w:t>Haverhals</w:t>
      </w:r>
      <w:proofErr w:type="spellEnd"/>
      <w:r w:rsidRPr="00F47BE6">
        <w:rPr>
          <w:rFonts w:cs="Arial"/>
          <w:sz w:val="20"/>
          <w:szCs w:val="20"/>
        </w:rPr>
        <w:t>, PhD</w:t>
      </w:r>
      <w:r>
        <w:rPr>
          <w:rFonts w:cs="Arial"/>
          <w:sz w:val="20"/>
          <w:szCs w:val="20"/>
        </w:rPr>
        <w:t>, MA (1,2)</w:t>
      </w:r>
      <w:r w:rsidRPr="00F47BE6">
        <w:rPr>
          <w:rFonts w:cs="Arial"/>
          <w:sz w:val="20"/>
          <w:szCs w:val="20"/>
        </w:rPr>
        <w:br/>
      </w:r>
      <w:r w:rsidRPr="00F47BE6">
        <w:rPr>
          <w:rFonts w:cs="Arial"/>
          <w:sz w:val="20"/>
          <w:szCs w:val="20"/>
        </w:rPr>
        <w:br/>
      </w:r>
      <w:r>
        <w:rPr>
          <w:rFonts w:cs="Arial"/>
          <w:sz w:val="20"/>
          <w:szCs w:val="20"/>
        </w:rPr>
        <w:t>(</w:t>
      </w:r>
      <w:r w:rsidRPr="00F47BE6">
        <w:rPr>
          <w:rFonts w:cs="Arial"/>
          <w:sz w:val="20"/>
          <w:szCs w:val="20"/>
        </w:rPr>
        <w:t>1</w:t>
      </w:r>
      <w:r>
        <w:rPr>
          <w:rFonts w:cs="Arial"/>
          <w:sz w:val="20"/>
          <w:szCs w:val="20"/>
        </w:rPr>
        <w:t xml:space="preserve">) </w:t>
      </w:r>
      <w:r w:rsidRPr="00F47BE6">
        <w:rPr>
          <w:rFonts w:cs="Arial"/>
          <w:sz w:val="20"/>
          <w:szCs w:val="20"/>
        </w:rPr>
        <w:t>Department of Veterans Affairs, Eastern Colorado Health Care System</w:t>
      </w:r>
    </w:p>
    <w:p w14:paraId="05A336D6" w14:textId="77777777" w:rsidR="00712A31" w:rsidRPr="00F47BE6" w:rsidRDefault="00712A31" w:rsidP="00D36E11">
      <w:pPr>
        <w:spacing w:after="0" w:line="240" w:lineRule="auto"/>
        <w:rPr>
          <w:rFonts w:cs="Arial"/>
          <w:sz w:val="20"/>
          <w:szCs w:val="20"/>
        </w:rPr>
      </w:pPr>
      <w:r>
        <w:rPr>
          <w:rFonts w:cs="Arial"/>
          <w:sz w:val="20"/>
          <w:szCs w:val="20"/>
        </w:rPr>
        <w:t>(</w:t>
      </w:r>
      <w:r w:rsidRPr="00F47BE6">
        <w:rPr>
          <w:rFonts w:cs="Arial"/>
          <w:sz w:val="20"/>
          <w:szCs w:val="20"/>
        </w:rPr>
        <w:t>2</w:t>
      </w:r>
      <w:r>
        <w:rPr>
          <w:rFonts w:cs="Arial"/>
          <w:sz w:val="20"/>
          <w:szCs w:val="20"/>
        </w:rPr>
        <w:t xml:space="preserve">) </w:t>
      </w:r>
      <w:r w:rsidRPr="00F47BE6">
        <w:rPr>
          <w:rFonts w:cs="Arial"/>
          <w:sz w:val="20"/>
          <w:szCs w:val="20"/>
        </w:rPr>
        <w:t>University of Colorado School of Medicine</w:t>
      </w:r>
    </w:p>
    <w:p w14:paraId="75E70094" w14:textId="77777777" w:rsidR="00002CD7" w:rsidRDefault="00002CD7" w:rsidP="00D36E11">
      <w:pPr>
        <w:spacing w:after="0" w:line="240" w:lineRule="auto"/>
        <w:rPr>
          <w:rFonts w:cs="Arial"/>
          <w:sz w:val="20"/>
          <w:szCs w:val="20"/>
        </w:rPr>
      </w:pPr>
    </w:p>
    <w:p w14:paraId="13C0A029" w14:textId="77777777" w:rsidR="007A7813" w:rsidRPr="00F47BE6" w:rsidRDefault="007A7813" w:rsidP="00D36E11">
      <w:pPr>
        <w:spacing w:after="0" w:line="240" w:lineRule="auto"/>
        <w:rPr>
          <w:rFonts w:cs="Arial"/>
          <w:sz w:val="20"/>
          <w:szCs w:val="20"/>
        </w:rPr>
      </w:pPr>
    </w:p>
    <w:p w14:paraId="3A0E2BCC" w14:textId="60DBFAEC" w:rsidR="00002CD7" w:rsidRPr="00751DA1" w:rsidRDefault="00C323A7" w:rsidP="00D36E11">
      <w:pPr>
        <w:spacing w:after="0" w:line="240" w:lineRule="auto"/>
        <w:rPr>
          <w:rFonts w:cs="Arial"/>
          <w:sz w:val="20"/>
          <w:szCs w:val="20"/>
          <w:u w:val="single"/>
        </w:rPr>
      </w:pPr>
      <w:r>
        <w:rPr>
          <w:rFonts w:cs="Arial"/>
          <w:b/>
          <w:sz w:val="20"/>
          <w:szCs w:val="20"/>
          <w:u w:val="single"/>
        </w:rPr>
        <w:t xml:space="preserve">8. </w:t>
      </w:r>
      <w:r w:rsidR="007E38C3" w:rsidRPr="00751DA1">
        <w:rPr>
          <w:rFonts w:cs="Arial"/>
          <w:b/>
          <w:sz w:val="20"/>
          <w:szCs w:val="20"/>
          <w:u w:val="single"/>
        </w:rPr>
        <w:t>Returning Home: Veteran and Caregiver Perspectives of the VA Nursing Home to Home Pilot Program</w:t>
      </w:r>
    </w:p>
    <w:p w14:paraId="5410D550" w14:textId="77777777" w:rsidR="007A7813" w:rsidRDefault="007A7813" w:rsidP="00D36E11">
      <w:pPr>
        <w:spacing w:after="0" w:line="240" w:lineRule="auto"/>
        <w:rPr>
          <w:rFonts w:cs="Arial"/>
          <w:b/>
          <w:sz w:val="20"/>
          <w:szCs w:val="20"/>
        </w:rPr>
      </w:pPr>
    </w:p>
    <w:p w14:paraId="4CB2F8AA" w14:textId="5FCCEF9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Rachel Fix, VA</w:t>
      </w:r>
    </w:p>
    <w:p w14:paraId="7FA4A5BA" w14:textId="77777777" w:rsidR="007A7813" w:rsidRDefault="007A7813" w:rsidP="00D36E11">
      <w:pPr>
        <w:spacing w:after="0" w:line="240" w:lineRule="auto"/>
        <w:rPr>
          <w:rFonts w:cs="Arial"/>
          <w:b/>
          <w:bCs/>
          <w:sz w:val="20"/>
          <w:szCs w:val="20"/>
        </w:rPr>
      </w:pPr>
    </w:p>
    <w:p w14:paraId="08FA7D82" w14:textId="24D44D42"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Developed in 2023 and launched in 2024, the United States (US) Department of Veterans Affairs (VA) Nursing Home to Home (NHTH) pilot program assists Veterans living in VA-paid community nursing homes (CNHs) to return to community living settings. Piloted at three VA Medical Centers (VAMCs), a VA nurse and social worker identify and assess eligible Veterans in partnership with input from other VA and CNH staff. This abstract describes Veteran and caregiver experiences with NHTH following moving back to the community.</w:t>
      </w:r>
      <w:r w:rsidRPr="00F47BE6">
        <w:rPr>
          <w:rFonts w:cs="Arial"/>
          <w:sz w:val="20"/>
          <w:szCs w:val="20"/>
        </w:rPr>
        <w:br/>
      </w:r>
      <w:r w:rsidRPr="00751DA1">
        <w:rPr>
          <w:rFonts w:cs="Arial"/>
          <w:sz w:val="20"/>
          <w:szCs w:val="20"/>
          <w:u w:val="single"/>
        </w:rPr>
        <w:t>Methods:</w:t>
      </w:r>
      <w:r w:rsidRPr="00F47BE6">
        <w:rPr>
          <w:rFonts w:cs="Arial"/>
          <w:sz w:val="20"/>
          <w:szCs w:val="20"/>
        </w:rPr>
        <w:t xml:space="preserve"> From May-July 2025, we conducted N=8 semi-structured phone interviews with Veterans or family caregivers one year following Veterans’ discharges from CNHs. We also summarized N=53, 30-day and N=12 one-</w:t>
      </w:r>
      <w:proofErr w:type="gramStart"/>
      <w:r w:rsidRPr="00F47BE6">
        <w:rPr>
          <w:rFonts w:cs="Arial"/>
          <w:sz w:val="20"/>
          <w:szCs w:val="20"/>
        </w:rPr>
        <w:t>year post-discharge</w:t>
      </w:r>
      <w:proofErr w:type="gramEnd"/>
      <w:r w:rsidRPr="00F47BE6">
        <w:rPr>
          <w:rFonts w:cs="Arial"/>
          <w:sz w:val="20"/>
          <w:szCs w:val="20"/>
        </w:rPr>
        <w:t xml:space="preserve"> satisfaction surveys. To analyze interview data, we identified themes describing Veterans and their caregivers’ experiences with NHTH. The same approach was applied to Veterans’ and caregivers’ open ended and Likert scale satisfaction survey responses. </w:t>
      </w:r>
      <w:r w:rsidRPr="00F47BE6">
        <w:rPr>
          <w:rFonts w:cs="Arial"/>
          <w:sz w:val="20"/>
          <w:szCs w:val="20"/>
        </w:rPr>
        <w:br/>
      </w:r>
      <w:r w:rsidRPr="00751DA1">
        <w:rPr>
          <w:rFonts w:cs="Arial"/>
          <w:sz w:val="20"/>
          <w:szCs w:val="20"/>
          <w:u w:val="single"/>
        </w:rPr>
        <w:t>Results:</w:t>
      </w:r>
      <w:r w:rsidRPr="00F47BE6">
        <w:rPr>
          <w:rFonts w:cs="Arial"/>
          <w:sz w:val="20"/>
          <w:szCs w:val="20"/>
        </w:rPr>
        <w:t xml:space="preserve"> Veterans and caregivers expressed high satisfaction with NHTH program. 92% of survey respondents felt supported to live their best life. Participants shared that care coordination provided by NHTH teams proved critical to successful community transitions. Veterans and caregivers valued education about previously unfamiliar VA long-term and extended care services. Veterans described post-discharge challenges, including limited transportation, increased social isolation, and difficulty accessing home health services. Survey results showed improvements in Veterans’ health after discharge, particularly in sleep, strength, and mood, while highlighting the need for continued support to promote social connection in the community.</w:t>
      </w:r>
      <w:r w:rsidRPr="00F47BE6">
        <w:rPr>
          <w:rFonts w:cs="Arial"/>
          <w:sz w:val="20"/>
          <w:szCs w:val="20"/>
        </w:rPr>
        <w:br/>
      </w:r>
      <w:r w:rsidRPr="00751DA1">
        <w:rPr>
          <w:rFonts w:cs="Arial"/>
          <w:sz w:val="20"/>
          <w:szCs w:val="20"/>
          <w:u w:val="single"/>
        </w:rPr>
        <w:t>Conclusion:</w:t>
      </w:r>
      <w:r w:rsidRPr="00F47BE6">
        <w:rPr>
          <w:rFonts w:cs="Arial"/>
          <w:sz w:val="20"/>
          <w:szCs w:val="20"/>
        </w:rPr>
        <w:t xml:space="preserve"> Veterans and caregivers described that NHTH supported them having successful transitions to community living, as well as improved health outcomes. That said, participants also expressed a need for ongoing post-discharge support. This feedback highlights the need for continued support in fostering social connections within the community and assistance with VA services to support Veteran healthcare changes.</w:t>
      </w:r>
    </w:p>
    <w:p w14:paraId="6D59150C" w14:textId="77777777" w:rsidR="007A7813" w:rsidRDefault="007A7813" w:rsidP="00D36E11">
      <w:pPr>
        <w:spacing w:after="0" w:line="240" w:lineRule="auto"/>
        <w:rPr>
          <w:rFonts w:cs="Arial"/>
          <w:b/>
          <w:sz w:val="20"/>
          <w:szCs w:val="20"/>
        </w:rPr>
      </w:pPr>
    </w:p>
    <w:p w14:paraId="7B7C69BE" w14:textId="6A76DF15" w:rsidR="00712A31" w:rsidRDefault="00712A31"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Pr="00F47BE6">
        <w:rPr>
          <w:rFonts w:cs="Arial"/>
          <w:sz w:val="20"/>
          <w:szCs w:val="20"/>
        </w:rPr>
        <w:t>Rachel Fix, LCSW</w:t>
      </w:r>
      <w:r>
        <w:rPr>
          <w:rFonts w:cs="Arial"/>
          <w:sz w:val="20"/>
          <w:szCs w:val="20"/>
        </w:rPr>
        <w:t xml:space="preserve"> (1)</w:t>
      </w:r>
      <w:r w:rsidRPr="00F47BE6">
        <w:rPr>
          <w:rFonts w:cs="Arial"/>
          <w:sz w:val="20"/>
          <w:szCs w:val="20"/>
        </w:rPr>
        <w:t>, Chelsea Manheim, LCSW</w:t>
      </w:r>
      <w:r>
        <w:rPr>
          <w:rFonts w:cs="Arial"/>
          <w:sz w:val="20"/>
          <w:szCs w:val="20"/>
        </w:rPr>
        <w:t xml:space="preserve"> (</w:t>
      </w:r>
      <w:r w:rsidRPr="00F47BE6">
        <w:rPr>
          <w:rFonts w:cs="Arial"/>
          <w:sz w:val="20"/>
          <w:szCs w:val="20"/>
        </w:rPr>
        <w:t>1</w:t>
      </w:r>
      <w:r>
        <w:rPr>
          <w:rFonts w:cs="Arial"/>
          <w:sz w:val="20"/>
          <w:szCs w:val="20"/>
        </w:rPr>
        <w:t>)</w:t>
      </w:r>
      <w:r w:rsidRPr="00F47BE6">
        <w:rPr>
          <w:rFonts w:cs="Arial"/>
          <w:sz w:val="20"/>
          <w:szCs w:val="20"/>
        </w:rPr>
        <w:t xml:space="preserve">, Leah M. </w:t>
      </w:r>
      <w:proofErr w:type="spellStart"/>
      <w:r w:rsidRPr="00F47BE6">
        <w:rPr>
          <w:rFonts w:cs="Arial"/>
          <w:sz w:val="20"/>
          <w:szCs w:val="20"/>
        </w:rPr>
        <w:t>Haverhals</w:t>
      </w:r>
      <w:proofErr w:type="spellEnd"/>
      <w:r w:rsidRPr="00F47BE6">
        <w:rPr>
          <w:rFonts w:cs="Arial"/>
          <w:sz w:val="20"/>
          <w:szCs w:val="20"/>
        </w:rPr>
        <w:t>, PhD</w:t>
      </w:r>
      <w:r>
        <w:rPr>
          <w:rFonts w:cs="Arial"/>
          <w:sz w:val="20"/>
          <w:szCs w:val="20"/>
        </w:rPr>
        <w:t>, MA (1,2)</w:t>
      </w:r>
      <w:r w:rsidRPr="00F47BE6">
        <w:rPr>
          <w:rFonts w:cs="Arial"/>
          <w:sz w:val="20"/>
          <w:szCs w:val="20"/>
        </w:rPr>
        <w:br/>
      </w:r>
      <w:r w:rsidRPr="00F47BE6">
        <w:rPr>
          <w:rFonts w:cs="Arial"/>
          <w:sz w:val="20"/>
          <w:szCs w:val="20"/>
        </w:rPr>
        <w:br/>
      </w:r>
      <w:r>
        <w:rPr>
          <w:rFonts w:cs="Arial"/>
          <w:sz w:val="20"/>
          <w:szCs w:val="20"/>
        </w:rPr>
        <w:t>(</w:t>
      </w:r>
      <w:r w:rsidRPr="00F47BE6">
        <w:rPr>
          <w:rFonts w:cs="Arial"/>
          <w:sz w:val="20"/>
          <w:szCs w:val="20"/>
        </w:rPr>
        <w:t>1</w:t>
      </w:r>
      <w:r>
        <w:rPr>
          <w:rFonts w:cs="Arial"/>
          <w:sz w:val="20"/>
          <w:szCs w:val="20"/>
        </w:rPr>
        <w:t xml:space="preserve">) </w:t>
      </w:r>
      <w:r w:rsidRPr="00F47BE6">
        <w:rPr>
          <w:rFonts w:cs="Arial"/>
          <w:sz w:val="20"/>
          <w:szCs w:val="20"/>
        </w:rPr>
        <w:t>Department of Veterans Affairs, Eastern Colorado Health Care System</w:t>
      </w:r>
    </w:p>
    <w:p w14:paraId="6EF19BC0" w14:textId="77777777" w:rsidR="00712A31" w:rsidRPr="00F47BE6" w:rsidRDefault="00712A31" w:rsidP="00D36E11">
      <w:pPr>
        <w:spacing w:after="0" w:line="240" w:lineRule="auto"/>
        <w:rPr>
          <w:rFonts w:cs="Arial"/>
          <w:sz w:val="20"/>
          <w:szCs w:val="20"/>
        </w:rPr>
      </w:pPr>
      <w:r>
        <w:rPr>
          <w:rFonts w:cs="Arial"/>
          <w:sz w:val="20"/>
          <w:szCs w:val="20"/>
        </w:rPr>
        <w:t>(</w:t>
      </w:r>
      <w:r w:rsidRPr="00F47BE6">
        <w:rPr>
          <w:rFonts w:cs="Arial"/>
          <w:sz w:val="20"/>
          <w:szCs w:val="20"/>
        </w:rPr>
        <w:t>2</w:t>
      </w:r>
      <w:r>
        <w:rPr>
          <w:rFonts w:cs="Arial"/>
          <w:sz w:val="20"/>
          <w:szCs w:val="20"/>
        </w:rPr>
        <w:t xml:space="preserve">) </w:t>
      </w:r>
      <w:r w:rsidRPr="00F47BE6">
        <w:rPr>
          <w:rFonts w:cs="Arial"/>
          <w:sz w:val="20"/>
          <w:szCs w:val="20"/>
        </w:rPr>
        <w:t>University of Colorado School of Medicine</w:t>
      </w:r>
    </w:p>
    <w:p w14:paraId="7BC6D8DE" w14:textId="77777777" w:rsidR="00002CD7" w:rsidRDefault="00002CD7" w:rsidP="00D36E11">
      <w:pPr>
        <w:spacing w:after="0" w:line="240" w:lineRule="auto"/>
        <w:rPr>
          <w:rFonts w:cs="Arial"/>
          <w:sz w:val="20"/>
          <w:szCs w:val="20"/>
        </w:rPr>
      </w:pPr>
    </w:p>
    <w:p w14:paraId="6B48AA20" w14:textId="77777777" w:rsidR="007A7813" w:rsidRPr="00F47BE6" w:rsidRDefault="007A7813" w:rsidP="00D36E11">
      <w:pPr>
        <w:spacing w:after="0" w:line="240" w:lineRule="auto"/>
        <w:rPr>
          <w:rFonts w:cs="Arial"/>
          <w:sz w:val="20"/>
          <w:szCs w:val="20"/>
        </w:rPr>
      </w:pPr>
    </w:p>
    <w:p w14:paraId="0E52D528" w14:textId="704AB0CD" w:rsidR="00002CD7" w:rsidRPr="006416EF" w:rsidRDefault="00A81665" w:rsidP="00D36E11">
      <w:pPr>
        <w:spacing w:after="0" w:line="240" w:lineRule="auto"/>
        <w:rPr>
          <w:rFonts w:cs="Arial"/>
          <w:sz w:val="20"/>
          <w:szCs w:val="20"/>
          <w:u w:val="single"/>
        </w:rPr>
      </w:pPr>
      <w:r>
        <w:rPr>
          <w:rFonts w:cs="Arial"/>
          <w:b/>
          <w:sz w:val="20"/>
          <w:szCs w:val="20"/>
          <w:u w:val="single"/>
        </w:rPr>
        <w:t xml:space="preserve">9. </w:t>
      </w:r>
      <w:r w:rsidR="007E38C3" w:rsidRPr="006416EF">
        <w:rPr>
          <w:rFonts w:cs="Arial"/>
          <w:b/>
          <w:sz w:val="20"/>
          <w:szCs w:val="20"/>
          <w:u w:val="single"/>
        </w:rPr>
        <w:t>Championing Care Coordination &amp; Integrated Case Management (CCICM) for Complex Rural Veterans: A Mixed Methods Evaluation</w:t>
      </w:r>
    </w:p>
    <w:p w14:paraId="53BC860F" w14:textId="77777777" w:rsidR="006416EF" w:rsidRDefault="006416EF" w:rsidP="00D36E11">
      <w:pPr>
        <w:spacing w:after="0" w:line="240" w:lineRule="auto"/>
        <w:rPr>
          <w:rFonts w:cs="Arial"/>
          <w:b/>
          <w:sz w:val="20"/>
          <w:szCs w:val="20"/>
        </w:rPr>
      </w:pPr>
    </w:p>
    <w:p w14:paraId="1AC8218C" w14:textId="7554DD59"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Cristina Parsons, VA</w:t>
      </w:r>
    </w:p>
    <w:p w14:paraId="156B317D" w14:textId="77777777" w:rsidR="006416EF" w:rsidRDefault="006416EF" w:rsidP="00D36E11">
      <w:pPr>
        <w:spacing w:after="0" w:line="240" w:lineRule="auto"/>
        <w:rPr>
          <w:rFonts w:cs="Arial"/>
          <w:sz w:val="20"/>
          <w:szCs w:val="20"/>
        </w:rPr>
      </w:pPr>
    </w:p>
    <w:p w14:paraId="0ABBAC50" w14:textId="026FC87E" w:rsidR="00002CD7" w:rsidRPr="00F47BE6" w:rsidRDefault="007E38C3" w:rsidP="00D36E11">
      <w:pPr>
        <w:spacing w:after="0" w:line="240" w:lineRule="auto"/>
        <w:rPr>
          <w:rFonts w:cs="Arial"/>
          <w:sz w:val="20"/>
          <w:szCs w:val="20"/>
        </w:rPr>
      </w:pPr>
      <w:r w:rsidRPr="006416EF">
        <w:rPr>
          <w:rFonts w:cs="Arial"/>
          <w:sz w:val="20"/>
          <w:szCs w:val="20"/>
          <w:u w:val="single"/>
        </w:rPr>
        <w:t>Background:</w:t>
      </w:r>
      <w:r w:rsidRPr="00F47BE6">
        <w:rPr>
          <w:rFonts w:cs="Arial"/>
          <w:sz w:val="20"/>
          <w:szCs w:val="20"/>
        </w:rPr>
        <w:t xml:space="preserve"> The Care Coordination and Integrated Case Management (CCICM) Enterprise-Wide Initiative (EWI) addresses disparities in care coordination and integrated case management by implementing a structured, evidence-based framework for care coordination and integrated case management. Rural Veterans with complex medical and/or behavioral health conditions are identified and assigned a lead coordinator (LC) to provide case management and care coordination across the continuum of care, within and external to the VA, to optimize health care outcomes. </w:t>
      </w:r>
      <w:r w:rsidRPr="00F47BE6">
        <w:rPr>
          <w:rFonts w:cs="Arial"/>
          <w:sz w:val="20"/>
          <w:szCs w:val="20"/>
        </w:rPr>
        <w:br/>
      </w:r>
      <w:r w:rsidRPr="006416EF">
        <w:rPr>
          <w:rFonts w:cs="Arial"/>
          <w:sz w:val="20"/>
          <w:szCs w:val="20"/>
          <w:u w:val="single"/>
        </w:rPr>
        <w:t>Methods:</w:t>
      </w:r>
      <w:r w:rsidRPr="00F47BE6">
        <w:rPr>
          <w:rFonts w:cs="Arial"/>
          <w:sz w:val="20"/>
          <w:szCs w:val="20"/>
        </w:rPr>
        <w:t xml:space="preserve"> This partnered mixed-methods evaluation aims to evaluate the implementation and sustainability of the CCICM rural initiative.</w:t>
      </w:r>
      <w:r w:rsidRPr="00F47BE6">
        <w:rPr>
          <w:rFonts w:cs="Arial"/>
          <w:sz w:val="20"/>
          <w:szCs w:val="20"/>
        </w:rPr>
        <w:br/>
      </w:r>
      <w:r w:rsidRPr="006416EF">
        <w:rPr>
          <w:rFonts w:cs="Arial"/>
          <w:sz w:val="20"/>
          <w:szCs w:val="20"/>
          <w:u w:val="single"/>
        </w:rPr>
        <w:t>Results:</w:t>
      </w:r>
      <w:r w:rsidRPr="00F47BE6">
        <w:rPr>
          <w:rFonts w:cs="Arial"/>
          <w:sz w:val="20"/>
          <w:szCs w:val="20"/>
        </w:rPr>
        <w:t xml:space="preserve"> A total of 1,039 Veterans, 861 of whom were rural, were served by the initiative in 1,837 encounters across the six 2025 CCICM EWI sites. Veterans who received an LC at one of the six CCICM EWI sites experienced a mean decrease in emergency department visits from 9.6 in a 6-month period down to 0.8 in the 6 months post LC engagement. These same Veterans also experienced a mean decrease in hospitalizations from 2.4 hospitalizations in a 6-month period to 0.2 hospitalizations 6 months post LC engagement. The six rural VA sites trained 2,481 clinicians and conducted 210 educational sessions. Qualitative analyses of interviews and focus groups revealed three factors as facilitators to CCICM implementation: having dedicated CCICM staff, strong communication, and ongoing support. Conversely, barriers to implementation span operational, cultural, and resource-related domains, influencing staff engagement, program integration, and Veteran access to care. Understanding these factors is essential for leadership to guide strategic decisions, allocate resources effectively, and ensure program resilience. </w:t>
      </w:r>
      <w:r w:rsidRPr="00F47BE6">
        <w:rPr>
          <w:rFonts w:cs="Arial"/>
          <w:sz w:val="20"/>
          <w:szCs w:val="20"/>
        </w:rPr>
        <w:br/>
      </w:r>
      <w:r w:rsidRPr="006416EF">
        <w:rPr>
          <w:rFonts w:cs="Arial"/>
          <w:sz w:val="20"/>
          <w:szCs w:val="20"/>
          <w:u w:val="single"/>
        </w:rPr>
        <w:t>Discussion/Conclusions: The</w:t>
      </w:r>
      <w:r w:rsidRPr="00F47BE6">
        <w:rPr>
          <w:rFonts w:cs="Arial"/>
          <w:sz w:val="20"/>
          <w:szCs w:val="20"/>
        </w:rPr>
        <w:t xml:space="preserve"> inaugural year evaluation of the CCICM initiative demonstrates its effectiveness across multiple dimensions, including Veteran outcomes, staff engagement, facility-level processes, and organizational impact. These findings provide compelling evidence that CCICM is a valuable and sustainable model for improving care coordination and enhancing health outcomes for Veterans.</w:t>
      </w:r>
    </w:p>
    <w:p w14:paraId="24D10A4B" w14:textId="77777777" w:rsidR="006416EF" w:rsidRDefault="006416EF" w:rsidP="00D36E11">
      <w:pPr>
        <w:spacing w:after="0" w:line="240" w:lineRule="auto"/>
        <w:rPr>
          <w:rFonts w:cs="Arial"/>
          <w:b/>
          <w:sz w:val="20"/>
          <w:szCs w:val="20"/>
        </w:rPr>
      </w:pPr>
    </w:p>
    <w:p w14:paraId="3764EEC9" w14:textId="7DA993AA" w:rsidR="00156E42"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Cristina Parsons, PhD, OTR/L</w:t>
      </w:r>
      <w:r w:rsidR="00156E42">
        <w:rPr>
          <w:rFonts w:cs="Arial"/>
          <w:sz w:val="20"/>
          <w:szCs w:val="20"/>
        </w:rPr>
        <w:t xml:space="preserve"> (1)</w:t>
      </w:r>
      <w:r w:rsidR="007E38C3" w:rsidRPr="00F47BE6">
        <w:rPr>
          <w:rFonts w:cs="Arial"/>
          <w:sz w:val="20"/>
          <w:szCs w:val="20"/>
        </w:rPr>
        <w:t>, Heidi Sjoberg, MSW, LCSW, CDIS</w:t>
      </w:r>
      <w:r w:rsidR="00156E42">
        <w:rPr>
          <w:rFonts w:cs="Arial"/>
          <w:sz w:val="20"/>
          <w:szCs w:val="20"/>
        </w:rPr>
        <w:t xml:space="preserve"> (1)</w:t>
      </w:r>
      <w:r w:rsidR="007E38C3" w:rsidRPr="00F47BE6">
        <w:rPr>
          <w:rFonts w:cs="Arial"/>
          <w:sz w:val="20"/>
          <w:szCs w:val="20"/>
        </w:rPr>
        <w:t>, Marcie Lee, MA, MPH</w:t>
      </w:r>
      <w:r w:rsidR="00156E42">
        <w:rPr>
          <w:rFonts w:cs="Arial"/>
          <w:sz w:val="20"/>
          <w:szCs w:val="20"/>
        </w:rPr>
        <w:t xml:space="preserve"> (1)</w:t>
      </w:r>
      <w:r w:rsidR="007E38C3" w:rsidRPr="00F47BE6">
        <w:rPr>
          <w:rFonts w:cs="Arial"/>
          <w:sz w:val="20"/>
          <w:szCs w:val="20"/>
        </w:rPr>
        <w:t xml:space="preserve">, </w:t>
      </w:r>
      <w:r w:rsidR="007E38C3" w:rsidRPr="00F47BE6">
        <w:rPr>
          <w:rFonts w:cs="Arial"/>
          <w:sz w:val="20"/>
          <w:szCs w:val="20"/>
        </w:rPr>
        <w:br/>
        <w:t xml:space="preserve">Etana </w:t>
      </w:r>
      <w:proofErr w:type="spellStart"/>
      <w:r w:rsidR="007E38C3" w:rsidRPr="00F47BE6">
        <w:rPr>
          <w:rFonts w:cs="Arial"/>
          <w:sz w:val="20"/>
          <w:szCs w:val="20"/>
        </w:rPr>
        <w:t>Disasa</w:t>
      </w:r>
      <w:proofErr w:type="spellEnd"/>
      <w:r w:rsidR="007E38C3" w:rsidRPr="00F47BE6">
        <w:rPr>
          <w:rFonts w:cs="Arial"/>
          <w:sz w:val="20"/>
          <w:szCs w:val="20"/>
        </w:rPr>
        <w:t>, MS, MA</w:t>
      </w:r>
      <w:r w:rsidR="00156E42">
        <w:rPr>
          <w:rFonts w:cs="Arial"/>
          <w:sz w:val="20"/>
          <w:szCs w:val="20"/>
        </w:rPr>
        <w:t xml:space="preserve"> (1)</w:t>
      </w:r>
      <w:r w:rsidR="007E38C3" w:rsidRPr="00F47BE6">
        <w:rPr>
          <w:rFonts w:cs="Arial"/>
          <w:sz w:val="20"/>
          <w:szCs w:val="20"/>
        </w:rPr>
        <w:t>, Claire Palmer, MS</w:t>
      </w:r>
      <w:r w:rsidR="00156E42">
        <w:rPr>
          <w:rFonts w:cs="Arial"/>
          <w:sz w:val="20"/>
          <w:szCs w:val="20"/>
        </w:rPr>
        <w:t xml:space="preserve"> (1)</w:t>
      </w:r>
      <w:r w:rsidR="007E38C3" w:rsidRPr="00F47BE6">
        <w:rPr>
          <w:rFonts w:cs="Arial"/>
          <w:sz w:val="20"/>
          <w:szCs w:val="20"/>
        </w:rPr>
        <w:t>, Ted Warsavage, MS</w:t>
      </w:r>
      <w:r w:rsidR="00156E42">
        <w:rPr>
          <w:rFonts w:cs="Arial"/>
          <w:sz w:val="20"/>
          <w:szCs w:val="20"/>
        </w:rPr>
        <w:t xml:space="preserve"> (1)</w:t>
      </w:r>
      <w:r w:rsidR="007E38C3" w:rsidRPr="00F47BE6">
        <w:rPr>
          <w:rFonts w:cs="Arial"/>
          <w:sz w:val="20"/>
          <w:szCs w:val="20"/>
        </w:rPr>
        <w:t>,</w:t>
      </w:r>
      <w:r w:rsidR="00156E42">
        <w:rPr>
          <w:rFonts w:cs="Arial"/>
          <w:sz w:val="20"/>
          <w:szCs w:val="20"/>
        </w:rPr>
        <w:t xml:space="preserve"> </w:t>
      </w:r>
      <w:r w:rsidR="007E38C3" w:rsidRPr="00F47BE6">
        <w:rPr>
          <w:rFonts w:cs="Arial"/>
          <w:sz w:val="20"/>
          <w:szCs w:val="20"/>
        </w:rPr>
        <w:t>Kimberly S. Hall, MA, BS, RN</w:t>
      </w:r>
      <w:r w:rsidR="00156E42">
        <w:rPr>
          <w:rFonts w:cs="Arial"/>
          <w:sz w:val="20"/>
          <w:szCs w:val="20"/>
        </w:rPr>
        <w:t xml:space="preserve"> (1)</w:t>
      </w:r>
      <w:r w:rsidR="007E38C3" w:rsidRPr="00F47BE6">
        <w:rPr>
          <w:rFonts w:cs="Arial"/>
          <w:sz w:val="20"/>
          <w:szCs w:val="20"/>
        </w:rPr>
        <w:t>,</w:t>
      </w:r>
      <w:r w:rsidR="00156E42">
        <w:rPr>
          <w:rFonts w:cs="Arial"/>
          <w:sz w:val="20"/>
          <w:szCs w:val="20"/>
        </w:rPr>
        <w:t xml:space="preserve"> </w:t>
      </w:r>
      <w:r w:rsidR="007E38C3" w:rsidRPr="00F47BE6">
        <w:rPr>
          <w:rFonts w:cs="Arial"/>
          <w:sz w:val="20"/>
          <w:szCs w:val="20"/>
        </w:rPr>
        <w:lastRenderedPageBreak/>
        <w:t>Christine Melillo, PhD, RN</w:t>
      </w:r>
      <w:r w:rsidR="00156E42">
        <w:rPr>
          <w:rFonts w:cs="Arial"/>
          <w:sz w:val="20"/>
          <w:szCs w:val="20"/>
        </w:rPr>
        <w:t xml:space="preserve"> (1,2)</w:t>
      </w:r>
      <w:r w:rsidR="007E38C3" w:rsidRPr="00F47BE6">
        <w:rPr>
          <w:rFonts w:cs="Arial"/>
          <w:sz w:val="20"/>
          <w:szCs w:val="20"/>
        </w:rPr>
        <w:br/>
      </w:r>
    </w:p>
    <w:p w14:paraId="5CCE323B" w14:textId="228E94C1" w:rsidR="00002CD7" w:rsidRPr="00F47BE6" w:rsidRDefault="00156E42" w:rsidP="00D36E11">
      <w:pPr>
        <w:spacing w:after="0" w:line="240" w:lineRule="auto"/>
        <w:rPr>
          <w:rFonts w:cs="Arial"/>
          <w:sz w:val="20"/>
          <w:szCs w:val="20"/>
        </w:rPr>
      </w:pPr>
      <w:r>
        <w:rPr>
          <w:rFonts w:cs="Arial"/>
          <w:sz w:val="20"/>
          <w:szCs w:val="20"/>
        </w:rPr>
        <w:t>(</w:t>
      </w:r>
      <w:r w:rsidR="007E38C3" w:rsidRPr="00F47BE6">
        <w:rPr>
          <w:rFonts w:cs="Arial"/>
          <w:sz w:val="20"/>
          <w:szCs w:val="20"/>
        </w:rPr>
        <w:t>1</w:t>
      </w:r>
      <w:r>
        <w:rPr>
          <w:rFonts w:cs="Arial"/>
          <w:sz w:val="20"/>
          <w:szCs w:val="20"/>
        </w:rPr>
        <w:t xml:space="preserve">) </w:t>
      </w:r>
      <w:r w:rsidR="007E38C3" w:rsidRPr="00F47BE6">
        <w:rPr>
          <w:rFonts w:cs="Arial"/>
          <w:sz w:val="20"/>
          <w:szCs w:val="20"/>
        </w:rPr>
        <w:t>Center of Innovation (COIN) for Veteran Centered and Value Driven Care, VA Eastern Colorado Health Care System</w:t>
      </w:r>
      <w:r w:rsidR="007E38C3" w:rsidRPr="00F47BE6">
        <w:rPr>
          <w:rFonts w:cs="Arial"/>
          <w:sz w:val="20"/>
          <w:szCs w:val="20"/>
        </w:rPr>
        <w:br/>
      </w:r>
      <w:r>
        <w:rPr>
          <w:rFonts w:cs="Arial"/>
          <w:sz w:val="20"/>
          <w:szCs w:val="20"/>
        </w:rPr>
        <w:t xml:space="preserve">(2) </w:t>
      </w:r>
      <w:r w:rsidR="007E38C3" w:rsidRPr="00F47BE6">
        <w:rPr>
          <w:rFonts w:cs="Arial"/>
          <w:sz w:val="20"/>
          <w:szCs w:val="20"/>
        </w:rPr>
        <w:t>Department of Emergency Medicine, Morsani College of Medicine, University of South Florida</w:t>
      </w:r>
    </w:p>
    <w:p w14:paraId="6D69F1F9" w14:textId="77777777" w:rsidR="00002CD7" w:rsidRDefault="00002CD7" w:rsidP="00D36E11">
      <w:pPr>
        <w:spacing w:after="0" w:line="240" w:lineRule="auto"/>
        <w:rPr>
          <w:rFonts w:cs="Arial"/>
          <w:sz w:val="20"/>
          <w:szCs w:val="20"/>
        </w:rPr>
      </w:pPr>
    </w:p>
    <w:p w14:paraId="37F521DF" w14:textId="77777777" w:rsidR="00156E42" w:rsidRPr="00F47BE6" w:rsidRDefault="00156E42" w:rsidP="00D36E11">
      <w:pPr>
        <w:spacing w:after="0" w:line="240" w:lineRule="auto"/>
        <w:rPr>
          <w:rFonts w:cs="Arial"/>
          <w:sz w:val="20"/>
          <w:szCs w:val="20"/>
        </w:rPr>
      </w:pPr>
    </w:p>
    <w:p w14:paraId="33BF60A7" w14:textId="4AFA6207" w:rsidR="00002CD7" w:rsidRPr="00751DA1" w:rsidRDefault="001A40F5" w:rsidP="00D36E11">
      <w:pPr>
        <w:spacing w:after="0" w:line="240" w:lineRule="auto"/>
        <w:rPr>
          <w:rFonts w:cs="Arial"/>
          <w:sz w:val="20"/>
          <w:szCs w:val="20"/>
          <w:u w:val="single"/>
        </w:rPr>
      </w:pPr>
      <w:r>
        <w:rPr>
          <w:rFonts w:cs="Arial"/>
          <w:b/>
          <w:sz w:val="20"/>
          <w:szCs w:val="20"/>
          <w:u w:val="single"/>
        </w:rPr>
        <w:t xml:space="preserve">10. </w:t>
      </w:r>
      <w:r w:rsidR="007E38C3" w:rsidRPr="00751DA1">
        <w:rPr>
          <w:rFonts w:cs="Arial"/>
          <w:b/>
          <w:sz w:val="20"/>
          <w:szCs w:val="20"/>
          <w:u w:val="single"/>
        </w:rPr>
        <w:t>Care Partners’ Experiences Supporting Veterans with Parkinson’s Disease</w:t>
      </w:r>
    </w:p>
    <w:p w14:paraId="61B620AB" w14:textId="77777777" w:rsidR="006104A9" w:rsidRDefault="006104A9" w:rsidP="00D36E11">
      <w:pPr>
        <w:spacing w:after="0" w:line="240" w:lineRule="auto"/>
        <w:rPr>
          <w:rFonts w:cs="Arial"/>
          <w:b/>
          <w:sz w:val="20"/>
          <w:szCs w:val="20"/>
        </w:rPr>
      </w:pPr>
    </w:p>
    <w:p w14:paraId="4FEBA2D6" w14:textId="58C6E7C4"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Robert Klocko, VA</w:t>
      </w:r>
    </w:p>
    <w:p w14:paraId="3F475B6E" w14:textId="77777777" w:rsidR="006104A9" w:rsidRDefault="006104A9" w:rsidP="00D36E11">
      <w:pPr>
        <w:spacing w:after="0" w:line="240" w:lineRule="auto"/>
        <w:rPr>
          <w:rFonts w:cs="Arial"/>
          <w:b/>
          <w:bCs/>
          <w:sz w:val="20"/>
          <w:szCs w:val="20"/>
        </w:rPr>
      </w:pPr>
    </w:p>
    <w:p w14:paraId="1DD2C01D" w14:textId="2310317D"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Parkinson’s Disease (PD) is the second most common neurodegenerative condition in the United States. PD affects approximately 110,000 Veterans receiving care from the Department of Veteran Affairs (VA). Care partners, who play an integral role in supporting Veterans living with PD, report feeling burdened by the demands of their role. This study aimed to describe the experiences of care partners for Veterans living with PD, focusing on their responsibilities as care partners, care partner reported support needs, and the impacts of acting as care partner on quality of life.</w:t>
      </w:r>
      <w:r w:rsidRPr="00F47BE6">
        <w:rPr>
          <w:rFonts w:cs="Arial"/>
          <w:sz w:val="20"/>
          <w:szCs w:val="20"/>
        </w:rPr>
        <w:br/>
      </w:r>
      <w:r w:rsidRPr="00751DA1">
        <w:rPr>
          <w:rFonts w:cs="Arial"/>
          <w:sz w:val="20"/>
          <w:szCs w:val="20"/>
          <w:u w:val="single"/>
        </w:rPr>
        <w:t>Methods</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We employed a descriptive qualitative study, conducting semi-structured interviews with 12 care partners (spouses and adult children of Veterans living with PD) receiving neurology care from 15 VA Medical Centers across the United States. Interviews were conducted with experienced interviewers, audio recorded, and transcribed verbatim. Data were analyzed using a team-based thematic approach, incorporating both deductive and inductive coding to ensure consistency and in-depth analysis.</w:t>
      </w:r>
      <w:r w:rsidRPr="00F47BE6">
        <w:rPr>
          <w:rFonts w:cs="Arial"/>
          <w:sz w:val="20"/>
          <w:szCs w:val="20"/>
        </w:rPr>
        <w:br/>
      </w:r>
      <w:r w:rsidRPr="00751DA1">
        <w:rPr>
          <w:rFonts w:cs="Arial"/>
          <w:sz w:val="20"/>
          <w:szCs w:val="20"/>
          <w:u w:val="single"/>
        </w:rPr>
        <w:t>Results</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We identified four major themes illustrating care partners’ experiences: 1) being a care partner for  Veterans living with PD was a full-time responsibility with purpose and meaning, involving complex tasks such as medication management, hygiene assistance, and medical care coordination; 2) being a care partner led to strain in parts of care partners’ lives, negatively impacting care partners' abilities to attend to self-care, maintain social relationships, and connect emotionally with their spouses; 3) care partners utilized resources to reduce burden, including VA-funded home health aides and support groups; and 4) gaps existed in supporting care partners, primarily due to a lack of knowledge regarding PD progression and awareness of available VA benefits.</w:t>
      </w:r>
      <w:r w:rsidRPr="00F47BE6">
        <w:rPr>
          <w:rFonts w:cs="Arial"/>
          <w:sz w:val="20"/>
          <w:szCs w:val="20"/>
        </w:rPr>
        <w:br/>
      </w:r>
      <w:r w:rsidRPr="00751DA1">
        <w:rPr>
          <w:rFonts w:cs="Arial"/>
          <w:sz w:val="20"/>
          <w:szCs w:val="20"/>
          <w:u w:val="single"/>
        </w:rPr>
        <w:t>Conclusion</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Care partners provided essential support but experienced substantial burdens that necessitate system-level interventions. While the VA offers various programs to support Veterans with PD and their care partners, lack of awareness of these resources and insufficient education regarding PD progression are current barriers limiting utilization of these supports. Integrating palliative care into PD management offers a structured approach to bridge these gaps, facilitating earlier education and improved resource navigation to enhance quality of life for both Veterans and their care partners.</w:t>
      </w:r>
    </w:p>
    <w:p w14:paraId="13224D14" w14:textId="77777777" w:rsidR="006104A9" w:rsidRDefault="006104A9" w:rsidP="00D36E11">
      <w:pPr>
        <w:spacing w:after="0" w:line="240" w:lineRule="auto"/>
        <w:rPr>
          <w:rFonts w:cs="Arial"/>
          <w:b/>
          <w:sz w:val="20"/>
          <w:szCs w:val="20"/>
        </w:rPr>
      </w:pPr>
    </w:p>
    <w:p w14:paraId="74DC61BD" w14:textId="2F8B6EB1" w:rsidR="00CD1F8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Robert P. Klocko</w:t>
      </w:r>
      <w:r w:rsidR="00CD1F86">
        <w:rPr>
          <w:rFonts w:cs="Arial"/>
          <w:sz w:val="20"/>
          <w:szCs w:val="20"/>
        </w:rPr>
        <w:t xml:space="preserve"> (</w:t>
      </w:r>
      <w:r w:rsidR="007E38C3" w:rsidRPr="00F47BE6">
        <w:rPr>
          <w:rFonts w:cs="Arial"/>
          <w:sz w:val="20"/>
          <w:szCs w:val="20"/>
        </w:rPr>
        <w:t>1</w:t>
      </w:r>
      <w:r w:rsidR="00CD1F86">
        <w:rPr>
          <w:rFonts w:cs="Arial"/>
          <w:sz w:val="20"/>
          <w:szCs w:val="20"/>
        </w:rPr>
        <w:t>)</w:t>
      </w:r>
      <w:r w:rsidR="007E38C3" w:rsidRPr="00F47BE6">
        <w:rPr>
          <w:rFonts w:cs="Arial"/>
          <w:sz w:val="20"/>
          <w:szCs w:val="20"/>
        </w:rPr>
        <w:t>, Amy Ladebue</w:t>
      </w:r>
      <w:r w:rsidR="00CD1F86">
        <w:rPr>
          <w:rFonts w:cs="Arial"/>
          <w:sz w:val="20"/>
          <w:szCs w:val="20"/>
        </w:rPr>
        <w:t xml:space="preserve"> (</w:t>
      </w:r>
      <w:r w:rsidR="007E38C3" w:rsidRPr="00F47BE6">
        <w:rPr>
          <w:rFonts w:cs="Arial"/>
          <w:sz w:val="20"/>
          <w:szCs w:val="20"/>
        </w:rPr>
        <w:t>1</w:t>
      </w:r>
      <w:r w:rsidR="00CD1F86">
        <w:rPr>
          <w:rFonts w:cs="Arial"/>
          <w:sz w:val="20"/>
          <w:szCs w:val="20"/>
        </w:rPr>
        <w:t>)</w:t>
      </w:r>
      <w:r w:rsidR="007E38C3" w:rsidRPr="00F47BE6">
        <w:rPr>
          <w:rFonts w:cs="Arial"/>
          <w:sz w:val="20"/>
          <w:szCs w:val="20"/>
        </w:rPr>
        <w:t>, Kate H. Magid</w:t>
      </w:r>
      <w:r w:rsidR="00CD1F86">
        <w:rPr>
          <w:rFonts w:cs="Arial"/>
          <w:sz w:val="20"/>
          <w:szCs w:val="20"/>
        </w:rPr>
        <w:t xml:space="preserve"> (</w:t>
      </w:r>
      <w:r w:rsidR="007E38C3" w:rsidRPr="00F47BE6">
        <w:rPr>
          <w:rFonts w:cs="Arial"/>
          <w:sz w:val="20"/>
          <w:szCs w:val="20"/>
        </w:rPr>
        <w:t>1</w:t>
      </w:r>
      <w:r w:rsidR="00CD1F86">
        <w:rPr>
          <w:rFonts w:cs="Arial"/>
          <w:sz w:val="20"/>
          <w:szCs w:val="20"/>
        </w:rPr>
        <w:t>)</w:t>
      </w:r>
      <w:r w:rsidR="007E38C3" w:rsidRPr="00F47BE6">
        <w:rPr>
          <w:rFonts w:cs="Arial"/>
          <w:sz w:val="20"/>
          <w:szCs w:val="20"/>
        </w:rPr>
        <w:t>, Rachel Fix</w:t>
      </w:r>
      <w:r w:rsidR="00CD1F86">
        <w:rPr>
          <w:rFonts w:cs="Arial"/>
          <w:sz w:val="20"/>
          <w:szCs w:val="20"/>
        </w:rPr>
        <w:t xml:space="preserve"> (</w:t>
      </w:r>
      <w:r w:rsidR="007E38C3" w:rsidRPr="00F47BE6">
        <w:rPr>
          <w:rFonts w:cs="Arial"/>
          <w:sz w:val="20"/>
          <w:szCs w:val="20"/>
        </w:rPr>
        <w:t>1</w:t>
      </w:r>
      <w:r w:rsidR="00CD1F86">
        <w:rPr>
          <w:rFonts w:cs="Arial"/>
          <w:sz w:val="20"/>
          <w:szCs w:val="20"/>
        </w:rPr>
        <w:t>)</w:t>
      </w:r>
      <w:r w:rsidR="007E38C3" w:rsidRPr="00F47BE6">
        <w:rPr>
          <w:rFonts w:cs="Arial"/>
          <w:sz w:val="20"/>
          <w:szCs w:val="20"/>
        </w:rPr>
        <w:t>, Jazmin Beltran</w:t>
      </w:r>
      <w:r w:rsidR="00CD1F86">
        <w:rPr>
          <w:rFonts w:cs="Arial"/>
          <w:sz w:val="20"/>
          <w:szCs w:val="20"/>
        </w:rPr>
        <w:t xml:space="preserve"> (</w:t>
      </w:r>
      <w:r w:rsidR="007E38C3" w:rsidRPr="00F47BE6">
        <w:rPr>
          <w:rFonts w:cs="Arial"/>
          <w:sz w:val="20"/>
          <w:szCs w:val="20"/>
        </w:rPr>
        <w:t>1</w:t>
      </w:r>
      <w:r w:rsidR="00CD1F86">
        <w:rPr>
          <w:rFonts w:cs="Arial"/>
          <w:sz w:val="20"/>
          <w:szCs w:val="20"/>
        </w:rPr>
        <w:t>)</w:t>
      </w:r>
      <w:r w:rsidR="007E38C3" w:rsidRPr="00F47BE6">
        <w:rPr>
          <w:rFonts w:cs="Arial"/>
          <w:sz w:val="20"/>
          <w:szCs w:val="20"/>
        </w:rPr>
        <w:t>, Christina L. Vaughan</w:t>
      </w:r>
      <w:r w:rsidR="00CD1F86">
        <w:rPr>
          <w:rFonts w:cs="Arial"/>
          <w:sz w:val="20"/>
          <w:szCs w:val="20"/>
        </w:rPr>
        <w:t xml:space="preserve"> (</w:t>
      </w:r>
      <w:r w:rsidR="007E38C3" w:rsidRPr="00F47BE6">
        <w:rPr>
          <w:rFonts w:cs="Arial"/>
          <w:sz w:val="20"/>
          <w:szCs w:val="20"/>
        </w:rPr>
        <w:t>1,2</w:t>
      </w:r>
      <w:r w:rsidR="00CD1F86">
        <w:rPr>
          <w:rFonts w:cs="Arial"/>
          <w:sz w:val="20"/>
          <w:szCs w:val="20"/>
        </w:rPr>
        <w:t>)</w:t>
      </w:r>
      <w:r w:rsidR="007E38C3" w:rsidRPr="00F47BE6">
        <w:rPr>
          <w:rFonts w:cs="Arial"/>
          <w:sz w:val="20"/>
          <w:szCs w:val="20"/>
        </w:rPr>
        <w:t>, Cari Levy</w:t>
      </w:r>
      <w:r w:rsidR="00CD1F86">
        <w:rPr>
          <w:rFonts w:cs="Arial"/>
          <w:sz w:val="20"/>
          <w:szCs w:val="20"/>
        </w:rPr>
        <w:t xml:space="preserve"> (</w:t>
      </w:r>
      <w:r w:rsidR="007E38C3" w:rsidRPr="00F47BE6">
        <w:rPr>
          <w:rFonts w:cs="Arial"/>
          <w:sz w:val="20"/>
          <w:szCs w:val="20"/>
        </w:rPr>
        <w:t>1,2</w:t>
      </w:r>
      <w:r w:rsidR="00CD1F86">
        <w:rPr>
          <w:rFonts w:cs="Arial"/>
          <w:sz w:val="20"/>
          <w:szCs w:val="20"/>
        </w:rPr>
        <w:t>)</w:t>
      </w:r>
      <w:r w:rsidR="007E38C3" w:rsidRPr="00F47BE6">
        <w:rPr>
          <w:rFonts w:cs="Arial"/>
          <w:sz w:val="20"/>
          <w:szCs w:val="20"/>
        </w:rPr>
        <w:t xml:space="preserve">, Leah M. </w:t>
      </w:r>
      <w:proofErr w:type="spellStart"/>
      <w:r w:rsidR="007E38C3" w:rsidRPr="00F47BE6">
        <w:rPr>
          <w:rFonts w:cs="Arial"/>
          <w:sz w:val="20"/>
          <w:szCs w:val="20"/>
        </w:rPr>
        <w:t>Haverhals</w:t>
      </w:r>
      <w:proofErr w:type="spellEnd"/>
      <w:r w:rsidR="00CD1F86">
        <w:rPr>
          <w:rFonts w:cs="Arial"/>
          <w:sz w:val="20"/>
          <w:szCs w:val="20"/>
        </w:rPr>
        <w:t xml:space="preserve"> (</w:t>
      </w:r>
      <w:r w:rsidR="007E38C3" w:rsidRPr="00F47BE6">
        <w:rPr>
          <w:rFonts w:cs="Arial"/>
          <w:sz w:val="20"/>
          <w:szCs w:val="20"/>
        </w:rPr>
        <w:t>1,2</w:t>
      </w:r>
      <w:r w:rsidR="00CD1F86">
        <w:rPr>
          <w:rFonts w:cs="Arial"/>
          <w:sz w:val="20"/>
          <w:szCs w:val="20"/>
        </w:rPr>
        <w:t>)</w:t>
      </w:r>
      <w:r w:rsidR="007E38C3" w:rsidRPr="00F47BE6">
        <w:rPr>
          <w:rFonts w:cs="Arial"/>
          <w:sz w:val="20"/>
          <w:szCs w:val="20"/>
        </w:rPr>
        <w:br/>
      </w:r>
    </w:p>
    <w:p w14:paraId="3920E03E" w14:textId="147F5B40" w:rsidR="00002CD7" w:rsidRPr="00F47BE6" w:rsidRDefault="00CD1F86" w:rsidP="00D36E11">
      <w:pPr>
        <w:spacing w:after="0" w:line="240" w:lineRule="auto"/>
        <w:rPr>
          <w:rFonts w:cs="Arial"/>
          <w:sz w:val="20"/>
          <w:szCs w:val="20"/>
        </w:rPr>
      </w:pPr>
      <w:r>
        <w:rPr>
          <w:rFonts w:cs="Arial"/>
          <w:sz w:val="20"/>
          <w:szCs w:val="20"/>
        </w:rPr>
        <w:t xml:space="preserve">(1) </w:t>
      </w:r>
      <w:r w:rsidR="007E38C3" w:rsidRPr="00F47BE6">
        <w:rPr>
          <w:rFonts w:cs="Arial"/>
          <w:sz w:val="20"/>
          <w:szCs w:val="20"/>
        </w:rPr>
        <w:t>Department of Veterans Affairs, Eastern Colorado Health Care System</w:t>
      </w:r>
      <w:r w:rsidR="007E38C3" w:rsidRPr="00F47BE6">
        <w:rPr>
          <w:rFonts w:cs="Arial"/>
          <w:sz w:val="20"/>
          <w:szCs w:val="20"/>
        </w:rPr>
        <w:br/>
      </w:r>
      <w:r>
        <w:rPr>
          <w:rFonts w:cs="Arial"/>
          <w:sz w:val="20"/>
          <w:szCs w:val="20"/>
        </w:rPr>
        <w:t xml:space="preserve">(2) </w:t>
      </w:r>
      <w:r w:rsidR="007E38C3" w:rsidRPr="00F47BE6">
        <w:rPr>
          <w:rFonts w:cs="Arial"/>
          <w:sz w:val="20"/>
          <w:szCs w:val="20"/>
        </w:rPr>
        <w:t>University of Colorado Anschutz</w:t>
      </w:r>
    </w:p>
    <w:p w14:paraId="3D477DD8" w14:textId="77777777" w:rsidR="00002CD7" w:rsidRDefault="00002CD7" w:rsidP="00D36E11">
      <w:pPr>
        <w:spacing w:after="0" w:line="240" w:lineRule="auto"/>
        <w:rPr>
          <w:rFonts w:cs="Arial"/>
          <w:sz w:val="20"/>
          <w:szCs w:val="20"/>
        </w:rPr>
      </w:pPr>
    </w:p>
    <w:p w14:paraId="0EF6B65F" w14:textId="77777777" w:rsidR="006104A9" w:rsidRPr="00F47BE6" w:rsidRDefault="006104A9" w:rsidP="00D36E11">
      <w:pPr>
        <w:spacing w:after="0" w:line="240" w:lineRule="auto"/>
        <w:rPr>
          <w:rFonts w:cs="Arial"/>
          <w:sz w:val="20"/>
          <w:szCs w:val="20"/>
        </w:rPr>
      </w:pPr>
    </w:p>
    <w:p w14:paraId="7AB3A0B5" w14:textId="3F0DF99B" w:rsidR="00002CD7" w:rsidRPr="00751DA1" w:rsidRDefault="001A40F5" w:rsidP="00D36E11">
      <w:pPr>
        <w:spacing w:after="0" w:line="240" w:lineRule="auto"/>
        <w:rPr>
          <w:rFonts w:cs="Arial"/>
          <w:sz w:val="20"/>
          <w:szCs w:val="20"/>
          <w:u w:val="single"/>
        </w:rPr>
      </w:pPr>
      <w:r>
        <w:rPr>
          <w:rFonts w:cs="Arial"/>
          <w:b/>
          <w:sz w:val="20"/>
          <w:szCs w:val="20"/>
          <w:u w:val="single"/>
        </w:rPr>
        <w:t xml:space="preserve">11. </w:t>
      </w:r>
      <w:r w:rsidR="007E38C3" w:rsidRPr="00751DA1">
        <w:rPr>
          <w:rFonts w:cs="Arial"/>
          <w:b/>
          <w:sz w:val="20"/>
          <w:szCs w:val="20"/>
          <w:u w:val="single"/>
        </w:rPr>
        <w:t>Creating Supportive Environments: The Power of a Relational Playbook and Leadership Coaching in Cath Labs</w:t>
      </w:r>
    </w:p>
    <w:p w14:paraId="247F5271" w14:textId="77777777" w:rsidR="006104A9" w:rsidRDefault="006104A9" w:rsidP="00D36E11">
      <w:pPr>
        <w:spacing w:after="0" w:line="240" w:lineRule="auto"/>
        <w:rPr>
          <w:rFonts w:cs="Arial"/>
          <w:b/>
          <w:sz w:val="20"/>
          <w:szCs w:val="20"/>
        </w:rPr>
      </w:pPr>
    </w:p>
    <w:p w14:paraId="58292668" w14:textId="29BF21C5"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Robert Klocko, VA</w:t>
      </w:r>
    </w:p>
    <w:p w14:paraId="340FDF13" w14:textId="77777777" w:rsidR="006104A9" w:rsidRDefault="006104A9" w:rsidP="00D36E11">
      <w:pPr>
        <w:spacing w:after="0" w:line="240" w:lineRule="auto"/>
        <w:rPr>
          <w:rFonts w:cs="Arial"/>
          <w:b/>
          <w:bCs/>
          <w:sz w:val="20"/>
          <w:szCs w:val="20"/>
        </w:rPr>
      </w:pPr>
    </w:p>
    <w:p w14:paraId="3DB337ED" w14:textId="438A84A7"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High-stress clinical settings, such as cardiac catheterization labs (cath labs), face a clinician burnout crisis that undermines professional growth and threatens the stability of essential healthcare services. These environments often lack the supportive learning frameworks necessary to maintain team well-being.</w:t>
      </w:r>
      <w:r w:rsidRPr="00F47BE6">
        <w:rPr>
          <w:rFonts w:cs="Arial"/>
          <w:sz w:val="20"/>
          <w:szCs w:val="20"/>
        </w:rPr>
        <w:br/>
      </w:r>
      <w:r w:rsidRPr="00751DA1">
        <w:rPr>
          <w:rFonts w:cs="Arial"/>
          <w:sz w:val="20"/>
          <w:szCs w:val="20"/>
          <w:u w:val="single"/>
        </w:rPr>
        <w:t>Methods:</w:t>
      </w:r>
      <w:r w:rsidRPr="00F47BE6">
        <w:rPr>
          <w:rFonts w:cs="Arial"/>
          <w:sz w:val="20"/>
          <w:szCs w:val="20"/>
        </w:rPr>
        <w:t xml:space="preserve"> This study evaluated a two-pronged intervention designed for low-effort, high-impact integration of the Relational Playbook into clinical workflows. The intervention consisted </w:t>
      </w:r>
      <w:proofErr w:type="gramStart"/>
      <w:r w:rsidRPr="00F47BE6">
        <w:rPr>
          <w:rFonts w:cs="Arial"/>
          <w:sz w:val="20"/>
          <w:szCs w:val="20"/>
        </w:rPr>
        <w:t>of:</w:t>
      </w:r>
      <w:proofErr w:type="gramEnd"/>
      <w:r w:rsidR="00CD1F86">
        <w:rPr>
          <w:rFonts w:cs="Arial"/>
          <w:sz w:val="20"/>
          <w:szCs w:val="20"/>
        </w:rPr>
        <w:t xml:space="preserve"> </w:t>
      </w:r>
      <w:r w:rsidRPr="00F47BE6">
        <w:rPr>
          <w:rFonts w:cs="Arial"/>
          <w:sz w:val="20"/>
          <w:szCs w:val="20"/>
        </w:rPr>
        <w:t>1.</w:t>
      </w:r>
      <w:r w:rsidR="00CD1F86">
        <w:rPr>
          <w:rFonts w:cs="Arial"/>
          <w:sz w:val="20"/>
          <w:szCs w:val="20"/>
        </w:rPr>
        <w:t xml:space="preserve"> </w:t>
      </w:r>
      <w:r w:rsidRPr="00F47BE6">
        <w:rPr>
          <w:rFonts w:cs="Arial"/>
          <w:sz w:val="20"/>
          <w:szCs w:val="20"/>
        </w:rPr>
        <w:t>Relational Playbook: A comprehensive toolkit featuring evidence-based practices focused on building culture, improving teamwork, and finding joy in work.</w:t>
      </w:r>
      <w:r w:rsidR="00CD1F86">
        <w:rPr>
          <w:rFonts w:cs="Arial"/>
          <w:sz w:val="20"/>
          <w:szCs w:val="20"/>
        </w:rPr>
        <w:t xml:space="preserve"> </w:t>
      </w:r>
      <w:r w:rsidRPr="00F47BE6">
        <w:rPr>
          <w:rFonts w:cs="Arial"/>
          <w:sz w:val="20"/>
          <w:szCs w:val="20"/>
        </w:rPr>
        <w:t>2.</w:t>
      </w:r>
      <w:r w:rsidR="00CD1F86">
        <w:rPr>
          <w:rFonts w:cs="Arial"/>
          <w:sz w:val="20"/>
          <w:szCs w:val="20"/>
        </w:rPr>
        <w:t xml:space="preserve"> </w:t>
      </w:r>
      <w:r w:rsidRPr="00F47BE6">
        <w:rPr>
          <w:rFonts w:cs="Arial"/>
          <w:sz w:val="20"/>
          <w:szCs w:val="20"/>
        </w:rPr>
        <w:t>Leadership Coaching: Managers received six months of individualized virtual coaching from ICF-certified professionals using the GROW framework to support the adoption of the playbook.</w:t>
      </w:r>
      <w:r w:rsidRPr="00F47BE6">
        <w:rPr>
          <w:rFonts w:cs="Arial"/>
          <w:sz w:val="20"/>
          <w:szCs w:val="20"/>
        </w:rPr>
        <w:br/>
      </w:r>
      <w:r w:rsidRPr="00751DA1">
        <w:rPr>
          <w:rFonts w:cs="Arial"/>
          <w:sz w:val="20"/>
          <w:szCs w:val="20"/>
          <w:u w:val="single"/>
        </w:rPr>
        <w:t>Results:</w:t>
      </w:r>
      <w:r w:rsidRPr="00F47BE6">
        <w:rPr>
          <w:rFonts w:cs="Arial"/>
          <w:sz w:val="20"/>
          <w:szCs w:val="20"/>
        </w:rPr>
        <w:t xml:space="preserve"> Implementation metrics indicated high success, with a maximum median acceptability score of 5.0 and a feasibility score of 5.0, despite busy clinical schedules. Leaders successfully incorporated these practices into routine practice by spending only 2.4 hours per week. Measurable gains in team well-being included a relative increase in job satisfaction compared to control groups and a measurable decrease in job-related burnout. </w:t>
      </w:r>
      <w:r w:rsidRPr="00F47BE6">
        <w:rPr>
          <w:rFonts w:cs="Arial"/>
          <w:sz w:val="20"/>
          <w:szCs w:val="20"/>
        </w:rPr>
        <w:lastRenderedPageBreak/>
        <w:t>Furthermore, the intervention led to a lowered intent to leave the organization. Qualitative feedback highlighted a visible transformation in team dynamics, characterized by increased laughter, voluntary engagement, and improved punctuality.</w:t>
      </w:r>
      <w:r w:rsidRPr="00F47BE6">
        <w:rPr>
          <w:rFonts w:cs="Arial"/>
          <w:sz w:val="20"/>
          <w:szCs w:val="20"/>
        </w:rPr>
        <w:br/>
      </w:r>
      <w:r w:rsidRPr="00751DA1">
        <w:rPr>
          <w:rFonts w:cs="Arial"/>
          <w:sz w:val="20"/>
          <w:szCs w:val="20"/>
          <w:u w:val="single"/>
        </w:rPr>
        <w:t>Conclusion:</w:t>
      </w:r>
      <w:r w:rsidRPr="00F47BE6">
        <w:rPr>
          <w:rFonts w:cs="Arial"/>
          <w:sz w:val="20"/>
          <w:szCs w:val="20"/>
        </w:rPr>
        <w:t xml:space="preserve"> The combination of the Relational Playbook and leadership coaching is a highly acceptable, appropriate, and feasible strategy for reducing burnout and improving retention in high-pressure healthcare environments.</w:t>
      </w:r>
    </w:p>
    <w:p w14:paraId="39ECB387" w14:textId="77777777" w:rsidR="006104A9" w:rsidRDefault="006104A9" w:rsidP="00D36E11">
      <w:pPr>
        <w:spacing w:after="0" w:line="240" w:lineRule="auto"/>
        <w:rPr>
          <w:rFonts w:cs="Arial"/>
          <w:b/>
          <w:sz w:val="20"/>
          <w:szCs w:val="20"/>
        </w:rPr>
      </w:pPr>
    </w:p>
    <w:p w14:paraId="2797B9DC" w14:textId="77777777" w:rsidR="006104A9"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Klocko, R.</w:t>
      </w:r>
      <w:r w:rsidR="00CD1F86">
        <w:rPr>
          <w:rFonts w:cs="Arial"/>
          <w:sz w:val="20"/>
          <w:szCs w:val="20"/>
        </w:rPr>
        <w:t xml:space="preserve"> </w:t>
      </w:r>
      <w:r w:rsidR="007E38C3" w:rsidRPr="00F47BE6">
        <w:rPr>
          <w:rFonts w:cs="Arial"/>
          <w:sz w:val="20"/>
          <w:szCs w:val="20"/>
        </w:rPr>
        <w:t>(1), Leonard, C. (1), Hess, E. (1), Daus, M. (1), Gilmartin, H. (1, 2)</w:t>
      </w:r>
      <w:r w:rsidR="007E38C3" w:rsidRPr="00F47BE6">
        <w:rPr>
          <w:rFonts w:cs="Arial"/>
          <w:sz w:val="20"/>
          <w:szCs w:val="20"/>
        </w:rPr>
        <w:br/>
      </w:r>
    </w:p>
    <w:p w14:paraId="1F755844" w14:textId="48B01EBB" w:rsidR="00002CD7" w:rsidRPr="00F47BE6" w:rsidRDefault="00CD1F86" w:rsidP="00D36E11">
      <w:pPr>
        <w:spacing w:after="0" w:line="240" w:lineRule="auto"/>
        <w:rPr>
          <w:rFonts w:cs="Arial"/>
          <w:sz w:val="20"/>
          <w:szCs w:val="20"/>
        </w:rPr>
      </w:pPr>
      <w:r>
        <w:rPr>
          <w:rFonts w:cs="Arial"/>
          <w:sz w:val="20"/>
          <w:szCs w:val="20"/>
        </w:rPr>
        <w:t>(</w:t>
      </w:r>
      <w:r w:rsidR="007E38C3" w:rsidRPr="00F47BE6">
        <w:rPr>
          <w:rFonts w:cs="Arial"/>
          <w:sz w:val="20"/>
          <w:szCs w:val="20"/>
        </w:rPr>
        <w:t>1</w:t>
      </w:r>
      <w:r>
        <w:rPr>
          <w:rFonts w:cs="Arial"/>
          <w:sz w:val="20"/>
          <w:szCs w:val="20"/>
        </w:rPr>
        <w:t>)</w:t>
      </w:r>
      <w:r w:rsidR="007E38C3" w:rsidRPr="00F47BE6">
        <w:rPr>
          <w:rFonts w:cs="Arial"/>
          <w:sz w:val="20"/>
          <w:szCs w:val="20"/>
        </w:rPr>
        <w:t xml:space="preserve"> Department of Veteran Affairs, Denver/Seattle Center of Innovation</w:t>
      </w:r>
      <w:r w:rsidR="007E38C3" w:rsidRPr="00F47BE6">
        <w:rPr>
          <w:rFonts w:cs="Arial"/>
          <w:sz w:val="20"/>
          <w:szCs w:val="20"/>
        </w:rPr>
        <w:br/>
      </w:r>
      <w:r>
        <w:rPr>
          <w:rFonts w:cs="Arial"/>
          <w:sz w:val="20"/>
          <w:szCs w:val="20"/>
        </w:rPr>
        <w:t>(</w:t>
      </w:r>
      <w:r w:rsidR="007E38C3" w:rsidRPr="00F47BE6">
        <w:rPr>
          <w:rFonts w:cs="Arial"/>
          <w:sz w:val="20"/>
          <w:szCs w:val="20"/>
        </w:rPr>
        <w:t>2</w:t>
      </w:r>
      <w:r>
        <w:rPr>
          <w:rFonts w:cs="Arial"/>
          <w:sz w:val="20"/>
          <w:szCs w:val="20"/>
        </w:rPr>
        <w:t>)</w:t>
      </w:r>
      <w:r w:rsidR="007E38C3" w:rsidRPr="00F47BE6">
        <w:rPr>
          <w:rFonts w:cs="Arial"/>
          <w:sz w:val="20"/>
          <w:szCs w:val="20"/>
        </w:rPr>
        <w:t xml:space="preserve"> University of Colorado, Colorado School of Public Health</w:t>
      </w:r>
    </w:p>
    <w:p w14:paraId="73C7E205" w14:textId="77777777" w:rsidR="00002CD7" w:rsidRDefault="00002CD7" w:rsidP="00D36E11">
      <w:pPr>
        <w:spacing w:after="0" w:line="240" w:lineRule="auto"/>
        <w:rPr>
          <w:rFonts w:cs="Arial"/>
          <w:sz w:val="20"/>
          <w:szCs w:val="20"/>
        </w:rPr>
      </w:pPr>
    </w:p>
    <w:p w14:paraId="68003EB8" w14:textId="77777777" w:rsidR="006104A9" w:rsidRPr="00F47BE6" w:rsidRDefault="006104A9" w:rsidP="00D36E11">
      <w:pPr>
        <w:spacing w:after="0" w:line="240" w:lineRule="auto"/>
        <w:rPr>
          <w:rFonts w:cs="Arial"/>
          <w:sz w:val="20"/>
          <w:szCs w:val="20"/>
        </w:rPr>
      </w:pPr>
    </w:p>
    <w:p w14:paraId="1F333479" w14:textId="6068918C" w:rsidR="00002CD7" w:rsidRPr="00751DA1" w:rsidRDefault="00C37C3F" w:rsidP="00D36E11">
      <w:pPr>
        <w:spacing w:after="0" w:line="240" w:lineRule="auto"/>
        <w:rPr>
          <w:rFonts w:cs="Arial"/>
          <w:sz w:val="20"/>
          <w:szCs w:val="20"/>
          <w:u w:val="single"/>
        </w:rPr>
      </w:pPr>
      <w:r>
        <w:rPr>
          <w:rFonts w:cs="Arial"/>
          <w:b/>
          <w:sz w:val="20"/>
          <w:szCs w:val="20"/>
          <w:u w:val="single"/>
        </w:rPr>
        <w:t xml:space="preserve">12. </w:t>
      </w:r>
      <w:r w:rsidR="007E38C3" w:rsidRPr="00751DA1">
        <w:rPr>
          <w:rFonts w:cs="Arial"/>
          <w:b/>
          <w:sz w:val="20"/>
          <w:szCs w:val="20"/>
          <w:u w:val="single"/>
        </w:rPr>
        <w:t>Understanding Transitions From FDA's Accelerated Approval to Full Approval: A Conceptual Framework and Empirical Evaluation</w:t>
      </w:r>
    </w:p>
    <w:p w14:paraId="0C1DB4A4" w14:textId="77777777" w:rsidR="007A7813" w:rsidRDefault="007A7813" w:rsidP="00D36E11">
      <w:pPr>
        <w:spacing w:after="0" w:line="240" w:lineRule="auto"/>
        <w:rPr>
          <w:rFonts w:cs="Arial"/>
          <w:b/>
          <w:sz w:val="20"/>
          <w:szCs w:val="20"/>
        </w:rPr>
      </w:pPr>
    </w:p>
    <w:p w14:paraId="0A70CFFD" w14:textId="57770593"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Mouna Dardouri, University of Colorado School of Medicine</w:t>
      </w:r>
    </w:p>
    <w:p w14:paraId="40CC820E" w14:textId="77777777" w:rsidR="007A7813" w:rsidRDefault="007A7813" w:rsidP="00D36E11">
      <w:pPr>
        <w:spacing w:after="0" w:line="240" w:lineRule="auto"/>
        <w:rPr>
          <w:rFonts w:cs="Arial"/>
          <w:b/>
          <w:bCs/>
          <w:sz w:val="20"/>
          <w:szCs w:val="20"/>
        </w:rPr>
      </w:pPr>
    </w:p>
    <w:p w14:paraId="24E7E212" w14:textId="6AA7C20E"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A83530">
        <w:rPr>
          <w:rFonts w:cs="Arial"/>
          <w:sz w:val="20"/>
          <w:szCs w:val="20"/>
        </w:rPr>
        <w:t xml:space="preserve"> </w:t>
      </w:r>
      <w:r w:rsidRPr="00F47BE6">
        <w:rPr>
          <w:rFonts w:cs="Arial"/>
          <w:sz w:val="20"/>
          <w:szCs w:val="20"/>
        </w:rPr>
        <w:t>The FDA Accelerated Approval (AA) pathway provides earlier access to therapies for serious conditions, but uncertainty remains until confirmatory evidence verifies clinical benefit. Prior studies have examined AA conversion, withdrawal, and confirmatory trial completion, but fewer have evaluated both eventual conversion and time to conversion within a common framework. We applied a framework to identify regulatory, evidentiary, sponsor-related, and therapeutic-area factors associated with AA-to-Full Approval (FA) transition.</w:t>
      </w:r>
      <w:r w:rsidRPr="00F47BE6">
        <w:rPr>
          <w:rFonts w:cs="Arial"/>
          <w:sz w:val="20"/>
          <w:szCs w:val="20"/>
        </w:rPr>
        <w:br/>
      </w:r>
      <w:r w:rsidRPr="00751DA1">
        <w:rPr>
          <w:rFonts w:cs="Arial"/>
          <w:sz w:val="20"/>
          <w:szCs w:val="20"/>
          <w:u w:val="single"/>
        </w:rPr>
        <w:t>Methods:</w:t>
      </w:r>
      <w:r w:rsidR="00A83530">
        <w:rPr>
          <w:rFonts w:cs="Arial"/>
          <w:sz w:val="20"/>
          <w:szCs w:val="20"/>
        </w:rPr>
        <w:t xml:space="preserve"> </w:t>
      </w:r>
      <w:r w:rsidRPr="00F47BE6">
        <w:rPr>
          <w:rFonts w:cs="Arial"/>
          <w:sz w:val="20"/>
          <w:szCs w:val="20"/>
        </w:rPr>
        <w:t xml:space="preserve">We conducted a retrospective cohort study of FDA AA drug-indication pairs from program inception through December 31, 2025. Predictors were organized into four domains: regulatory/policy context, confirmatory evidence generation, sponsor capacity, and therapeutic area/disease context. Logistic regression examined conversion to FA versus withdrawal before FA among products with a final regulatory outcome. Fine-Gray competing-risks regression examined time from AA to FA, treating withdrawal before FA as a competing event. </w:t>
      </w:r>
      <w:r w:rsidRPr="00F47BE6">
        <w:rPr>
          <w:rFonts w:cs="Arial"/>
          <w:sz w:val="20"/>
          <w:szCs w:val="20"/>
        </w:rPr>
        <w:br/>
      </w:r>
      <w:r w:rsidRPr="00751DA1">
        <w:rPr>
          <w:rFonts w:cs="Arial"/>
          <w:sz w:val="20"/>
          <w:szCs w:val="20"/>
          <w:u w:val="single"/>
        </w:rPr>
        <w:t>Results:</w:t>
      </w:r>
      <w:r w:rsidR="00A83530">
        <w:rPr>
          <w:rFonts w:cs="Arial"/>
          <w:sz w:val="20"/>
          <w:szCs w:val="20"/>
        </w:rPr>
        <w:t xml:space="preserve"> </w:t>
      </w:r>
      <w:r w:rsidRPr="00F47BE6">
        <w:rPr>
          <w:rFonts w:cs="Arial"/>
          <w:sz w:val="20"/>
          <w:szCs w:val="20"/>
        </w:rPr>
        <w:t xml:space="preserve">Among 253 drug-indication pairs with a final regulatory outcome, 209 converted to FA and 44 were withdrawn. Breakthrough Therapy designation was associated with higher odds of conversion (OR=9.62; 95% CI=3.07-30.16; p&lt;0.001). Oncology indications had lower odds than non-oncology/infectious-disease indications (OR=0.05; 95% CI=0.004-0.63; p=0.021), as did mega-large versus large manufacturers (OR=0.24; 95% CI=0.08-0.79; p=0.019). In the time-to-event analysis of 360 drug-indication pairs, trial initiation before AA (SHR=2.05; 95% CI=1.36-3.08; p=0.001) and Breakthrough Therapy designation (SHR=2.54; 95% CI=1.59-4.05; p&lt;0.001) were associated with higher cumulative incidence of FA conversion. Mid/small manufacturers had lower cumulative incidence than large manufacturers (SHR=0.43; 95% CI=0.23-0.83; p=0.012). </w:t>
      </w:r>
      <w:r w:rsidRPr="00F47BE6">
        <w:rPr>
          <w:rFonts w:cs="Arial"/>
          <w:sz w:val="20"/>
          <w:szCs w:val="20"/>
        </w:rPr>
        <w:br/>
      </w:r>
      <w:r w:rsidRPr="00751DA1">
        <w:rPr>
          <w:rFonts w:cs="Arial"/>
          <w:sz w:val="20"/>
          <w:szCs w:val="20"/>
          <w:u w:val="single"/>
        </w:rPr>
        <w:t>Conclusions:</w:t>
      </w:r>
      <w:r w:rsidR="00A83530">
        <w:rPr>
          <w:rFonts w:cs="Arial"/>
          <w:sz w:val="20"/>
          <w:szCs w:val="20"/>
        </w:rPr>
        <w:t xml:space="preserve"> </w:t>
      </w:r>
      <w:r w:rsidRPr="00F47BE6">
        <w:rPr>
          <w:rFonts w:cs="Arial"/>
          <w:sz w:val="20"/>
          <w:szCs w:val="20"/>
        </w:rPr>
        <w:t>AA-to-FA transition is a process of resolving evidence uncertainty over time, not only a final conversion outcome. Because predictors of eventual and timely conversion differed, monitoring based only on final status may miss products with prolonged uncertainty. Trial readiness before AA, sponsor capacity, and therapeutic area may help identify products needing earlier follow-up, clearer milestones, or tailored post-approval oversight.</w:t>
      </w:r>
    </w:p>
    <w:p w14:paraId="0224B121" w14:textId="77777777" w:rsidR="007A7813" w:rsidRDefault="007A7813" w:rsidP="00D36E11">
      <w:pPr>
        <w:spacing w:after="0" w:line="240" w:lineRule="auto"/>
        <w:rPr>
          <w:rFonts w:cs="Arial"/>
          <w:b/>
          <w:sz w:val="20"/>
          <w:szCs w:val="20"/>
        </w:rPr>
      </w:pPr>
    </w:p>
    <w:p w14:paraId="6ED8991D" w14:textId="00A62D4E"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Mouna Dardouri</w:t>
      </w:r>
      <w:r w:rsidR="00A83530">
        <w:rPr>
          <w:rFonts w:cs="Arial"/>
          <w:sz w:val="20"/>
          <w:szCs w:val="20"/>
        </w:rPr>
        <w:t xml:space="preserve"> (</w:t>
      </w:r>
      <w:r w:rsidR="007E38C3" w:rsidRPr="00F47BE6">
        <w:rPr>
          <w:rFonts w:cs="Arial"/>
          <w:sz w:val="20"/>
          <w:szCs w:val="20"/>
        </w:rPr>
        <w:t>1</w:t>
      </w:r>
      <w:r w:rsidR="00A83530">
        <w:rPr>
          <w:rFonts w:cs="Arial"/>
          <w:sz w:val="20"/>
          <w:szCs w:val="20"/>
        </w:rPr>
        <w:t>),</w:t>
      </w:r>
      <w:r w:rsidR="007E38C3" w:rsidRPr="00F47BE6">
        <w:rPr>
          <w:rFonts w:cs="Arial"/>
          <w:sz w:val="20"/>
          <w:szCs w:val="20"/>
        </w:rPr>
        <w:t xml:space="preserve"> Heather Anderson</w:t>
      </w:r>
      <w:r w:rsidR="00A83530">
        <w:rPr>
          <w:rFonts w:cs="Arial"/>
          <w:sz w:val="20"/>
          <w:szCs w:val="20"/>
        </w:rPr>
        <w:t xml:space="preserve"> (1), </w:t>
      </w:r>
      <w:r w:rsidR="007E38C3" w:rsidRPr="00F47BE6">
        <w:rPr>
          <w:rFonts w:cs="Arial"/>
          <w:sz w:val="20"/>
          <w:szCs w:val="20"/>
        </w:rPr>
        <w:t>David Rind</w:t>
      </w:r>
      <w:r w:rsidR="00A83530">
        <w:rPr>
          <w:rFonts w:cs="Arial"/>
          <w:sz w:val="20"/>
          <w:szCs w:val="20"/>
        </w:rPr>
        <w:t xml:space="preserve"> (2),</w:t>
      </w:r>
      <w:r w:rsidR="007E38C3" w:rsidRPr="00F47BE6">
        <w:rPr>
          <w:rFonts w:cs="Arial"/>
          <w:sz w:val="20"/>
          <w:szCs w:val="20"/>
        </w:rPr>
        <w:t xml:space="preserve"> R. Brett McQueen</w:t>
      </w:r>
      <w:r w:rsidR="00A83530">
        <w:rPr>
          <w:rFonts w:cs="Arial"/>
          <w:sz w:val="20"/>
          <w:szCs w:val="20"/>
        </w:rPr>
        <w:t xml:space="preserve"> (1), </w:t>
      </w:r>
      <w:r w:rsidR="007E38C3" w:rsidRPr="00F47BE6">
        <w:rPr>
          <w:rFonts w:cs="Arial"/>
          <w:sz w:val="20"/>
          <w:szCs w:val="20"/>
        </w:rPr>
        <w:t>Michael J. DiStefano</w:t>
      </w:r>
      <w:r w:rsidR="00A83530">
        <w:rPr>
          <w:rFonts w:cs="Arial"/>
          <w:sz w:val="20"/>
          <w:szCs w:val="20"/>
        </w:rPr>
        <w:t xml:space="preserve"> (1)</w:t>
      </w:r>
      <w:r w:rsidR="007E38C3" w:rsidRPr="00F47BE6">
        <w:rPr>
          <w:rFonts w:cs="Arial"/>
          <w:sz w:val="20"/>
          <w:szCs w:val="20"/>
        </w:rPr>
        <w:br/>
      </w:r>
      <w:r w:rsidR="007E38C3" w:rsidRPr="00F47BE6">
        <w:rPr>
          <w:rFonts w:cs="Arial"/>
          <w:sz w:val="20"/>
          <w:szCs w:val="20"/>
        </w:rPr>
        <w:br/>
      </w:r>
      <w:r w:rsidR="00A83530">
        <w:rPr>
          <w:rFonts w:cs="Arial"/>
          <w:sz w:val="20"/>
          <w:szCs w:val="20"/>
        </w:rPr>
        <w:t>(</w:t>
      </w:r>
      <w:r w:rsidR="007E38C3" w:rsidRPr="00F47BE6">
        <w:rPr>
          <w:rFonts w:cs="Arial"/>
          <w:sz w:val="20"/>
          <w:szCs w:val="20"/>
        </w:rPr>
        <w:t>1</w:t>
      </w:r>
      <w:r w:rsidR="00A83530">
        <w:rPr>
          <w:rFonts w:cs="Arial"/>
          <w:sz w:val="20"/>
          <w:szCs w:val="20"/>
        </w:rPr>
        <w:t>)</w:t>
      </w:r>
      <w:r w:rsidR="007E38C3" w:rsidRPr="00F47BE6">
        <w:rPr>
          <w:rFonts w:cs="Arial"/>
          <w:sz w:val="20"/>
          <w:szCs w:val="20"/>
        </w:rPr>
        <w:t xml:space="preserve"> University of Colorado Skaggs School of Pharmacy and Pharmaceutical Sciences</w:t>
      </w:r>
      <w:r w:rsidR="007E38C3" w:rsidRPr="00F47BE6">
        <w:rPr>
          <w:rFonts w:cs="Arial"/>
          <w:sz w:val="20"/>
          <w:szCs w:val="20"/>
        </w:rPr>
        <w:br/>
      </w:r>
      <w:r w:rsidR="00A83530">
        <w:rPr>
          <w:rFonts w:cs="Arial"/>
          <w:sz w:val="20"/>
          <w:szCs w:val="20"/>
        </w:rPr>
        <w:t>(</w:t>
      </w:r>
      <w:r w:rsidR="007E38C3" w:rsidRPr="00F47BE6">
        <w:rPr>
          <w:rFonts w:cs="Arial"/>
          <w:sz w:val="20"/>
          <w:szCs w:val="20"/>
        </w:rPr>
        <w:t>2</w:t>
      </w:r>
      <w:r w:rsidR="00A83530">
        <w:rPr>
          <w:rFonts w:cs="Arial"/>
          <w:sz w:val="20"/>
          <w:szCs w:val="20"/>
        </w:rPr>
        <w:t>)</w:t>
      </w:r>
      <w:r w:rsidR="007E38C3" w:rsidRPr="00F47BE6">
        <w:rPr>
          <w:rFonts w:cs="Arial"/>
          <w:sz w:val="20"/>
          <w:szCs w:val="20"/>
        </w:rPr>
        <w:t xml:space="preserve"> The Institute for Clinical and Economic Review</w:t>
      </w:r>
    </w:p>
    <w:p w14:paraId="0676DFCE" w14:textId="77777777" w:rsidR="00002CD7" w:rsidRDefault="00002CD7" w:rsidP="00D36E11">
      <w:pPr>
        <w:spacing w:after="0" w:line="240" w:lineRule="auto"/>
        <w:rPr>
          <w:rFonts w:cs="Arial"/>
          <w:sz w:val="20"/>
          <w:szCs w:val="20"/>
        </w:rPr>
      </w:pPr>
    </w:p>
    <w:p w14:paraId="6059E0BE" w14:textId="77777777" w:rsidR="007A7813" w:rsidRPr="00F47BE6" w:rsidRDefault="007A7813" w:rsidP="00D36E11">
      <w:pPr>
        <w:spacing w:after="0" w:line="240" w:lineRule="auto"/>
        <w:rPr>
          <w:rFonts w:cs="Arial"/>
          <w:sz w:val="20"/>
          <w:szCs w:val="20"/>
        </w:rPr>
      </w:pPr>
    </w:p>
    <w:p w14:paraId="3D559CE6" w14:textId="62A2DB88" w:rsidR="00002CD7" w:rsidRPr="00751DA1" w:rsidRDefault="00C35CBB" w:rsidP="00D36E11">
      <w:pPr>
        <w:spacing w:after="0" w:line="240" w:lineRule="auto"/>
        <w:rPr>
          <w:rFonts w:cs="Arial"/>
          <w:sz w:val="20"/>
          <w:szCs w:val="20"/>
          <w:u w:val="single"/>
        </w:rPr>
      </w:pPr>
      <w:r>
        <w:rPr>
          <w:rFonts w:cs="Arial"/>
          <w:b/>
          <w:sz w:val="20"/>
          <w:szCs w:val="20"/>
          <w:u w:val="single"/>
        </w:rPr>
        <w:t xml:space="preserve">14. </w:t>
      </w:r>
      <w:r w:rsidR="007E38C3" w:rsidRPr="00751DA1">
        <w:rPr>
          <w:rFonts w:cs="Arial"/>
          <w:b/>
          <w:sz w:val="20"/>
          <w:szCs w:val="20"/>
          <w:u w:val="single"/>
        </w:rPr>
        <w:t>Developing and Implementing a Sedated Procedures Care Coordination Functionality in Epic to Reduce Provider Care Coordination Time</w:t>
      </w:r>
    </w:p>
    <w:p w14:paraId="1B7A600A" w14:textId="77777777" w:rsidR="006104A9" w:rsidRDefault="006104A9" w:rsidP="00D36E11">
      <w:pPr>
        <w:spacing w:after="0" w:line="240" w:lineRule="auto"/>
        <w:rPr>
          <w:rFonts w:cs="Arial"/>
          <w:b/>
          <w:sz w:val="20"/>
          <w:szCs w:val="20"/>
        </w:rPr>
      </w:pPr>
    </w:p>
    <w:p w14:paraId="1870FCF2" w14:textId="17BBD22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Kristina Malik, University of Colorado School of Medicine, Children's Hospital Colorado</w:t>
      </w:r>
    </w:p>
    <w:p w14:paraId="1859187B" w14:textId="77777777" w:rsidR="006104A9" w:rsidRDefault="006104A9" w:rsidP="00D36E11">
      <w:pPr>
        <w:spacing w:after="0" w:line="240" w:lineRule="auto"/>
        <w:rPr>
          <w:rFonts w:cs="Arial"/>
          <w:b/>
          <w:bCs/>
          <w:sz w:val="20"/>
          <w:szCs w:val="20"/>
        </w:rPr>
      </w:pPr>
    </w:p>
    <w:p w14:paraId="41A49E24" w14:textId="40C31DC0"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Combining sedated procedures improves outcomes and costs for pediatric patients but increases care coordination. Children with complex medical needs are the children most likely to have combined sedated procedures. Clinicians who care for this population identify this process as important yet time-consuming and unclear; this process requires orders in multiple phases of care (i.e., ambulatory, operative) within the electronic health record (EHR). EHR functionality could optimize this process.</w:t>
      </w:r>
      <w:r w:rsidRPr="00F47BE6">
        <w:rPr>
          <w:rFonts w:cs="Arial"/>
          <w:sz w:val="20"/>
          <w:szCs w:val="20"/>
        </w:rPr>
        <w:br/>
        <w:t xml:space="preserve">Our goal was to show feasibility of EHR functionality that crossed phases of care to coordinate target </w:t>
      </w:r>
      <w:r w:rsidRPr="00F47BE6">
        <w:rPr>
          <w:rFonts w:cs="Arial"/>
          <w:sz w:val="20"/>
          <w:szCs w:val="20"/>
        </w:rPr>
        <w:lastRenderedPageBreak/>
        <w:t>interventions while in procedure center (Aim 1) and reduce provider burden (reduce time spent on procedure coordination by 15 minutes, increase in provider satisfaction) over 1 year (Aim 2).</w:t>
      </w:r>
      <w:r w:rsidRPr="00F47BE6">
        <w:rPr>
          <w:rFonts w:cs="Arial"/>
          <w:sz w:val="20"/>
          <w:szCs w:val="20"/>
        </w:rPr>
        <w:br/>
      </w:r>
      <w:r w:rsidRPr="00751DA1">
        <w:rPr>
          <w:rFonts w:cs="Arial"/>
          <w:sz w:val="20"/>
          <w:szCs w:val="20"/>
          <w:u w:val="single"/>
        </w:rPr>
        <w:t>Methods:</w:t>
      </w:r>
      <w:r w:rsidRPr="00F47BE6">
        <w:rPr>
          <w:rFonts w:cs="Arial"/>
          <w:sz w:val="20"/>
          <w:szCs w:val="20"/>
        </w:rPr>
        <w:t xml:space="preserve"> The EHR functionality was developed and tested by multidisciplinary team and then implemented. Implementation included educational sessions with pilot site and procedure center. </w:t>
      </w:r>
      <w:r w:rsidRPr="00F47BE6">
        <w:rPr>
          <w:rFonts w:cs="Arial"/>
          <w:sz w:val="20"/>
          <w:szCs w:val="20"/>
        </w:rPr>
        <w:br/>
        <w:t>Use was collected through EHR report. A standardized provider wellness survey was completed by pilot site providers prior to and post implementation. The data was analyzed using descriptive statistics.</w:t>
      </w:r>
      <w:r w:rsidRPr="00F47BE6">
        <w:rPr>
          <w:rFonts w:cs="Arial"/>
          <w:sz w:val="20"/>
          <w:szCs w:val="20"/>
        </w:rPr>
        <w:br/>
      </w:r>
      <w:r w:rsidRPr="00751DA1">
        <w:rPr>
          <w:rFonts w:cs="Arial"/>
          <w:sz w:val="20"/>
          <w:szCs w:val="20"/>
          <w:u w:val="single"/>
        </w:rPr>
        <w:t>Results:</w:t>
      </w:r>
      <w:r w:rsidRPr="00F47BE6">
        <w:rPr>
          <w:rFonts w:cs="Arial"/>
          <w:sz w:val="20"/>
          <w:szCs w:val="20"/>
        </w:rPr>
        <w:t xml:space="preserve"> The functionality was used in over 34 patients. It was also noted to be </w:t>
      </w:r>
      <w:proofErr w:type="gramStart"/>
      <w:r w:rsidRPr="00F47BE6">
        <w:rPr>
          <w:rFonts w:cs="Arial"/>
          <w:sz w:val="20"/>
          <w:szCs w:val="20"/>
        </w:rPr>
        <w:t>used providers</w:t>
      </w:r>
      <w:proofErr w:type="gramEnd"/>
      <w:r w:rsidRPr="00F47BE6">
        <w:rPr>
          <w:rFonts w:cs="Arial"/>
          <w:sz w:val="20"/>
          <w:szCs w:val="20"/>
        </w:rPr>
        <w:t xml:space="preserve"> not at pilot site.</w:t>
      </w:r>
      <w:r w:rsidRPr="00F47BE6">
        <w:rPr>
          <w:rFonts w:cs="Arial"/>
          <w:sz w:val="20"/>
          <w:szCs w:val="20"/>
        </w:rPr>
        <w:br/>
        <w:t xml:space="preserve">We had 50% response rate in both the pre and post survey. Comparing the </w:t>
      </w:r>
      <w:proofErr w:type="gramStart"/>
      <w:r w:rsidRPr="00F47BE6">
        <w:rPr>
          <w:rFonts w:cs="Arial"/>
          <w:sz w:val="20"/>
          <w:szCs w:val="20"/>
        </w:rPr>
        <w:t>pre to post</w:t>
      </w:r>
      <w:proofErr w:type="gramEnd"/>
      <w:r w:rsidRPr="00F47BE6">
        <w:rPr>
          <w:rFonts w:cs="Arial"/>
          <w:sz w:val="20"/>
          <w:szCs w:val="20"/>
        </w:rPr>
        <w:t xml:space="preserve"> survey response for each provider, providers reported an average decrease in time coordinating sedated procedures by 15 minutes. Both provider satisfaction of efficiency coordinating sedated procedures (pre: 0%; post: 37.5%) and proportion of work effort on coordinating sedated procedures (pre: 0%;  post: 62.5%) increased after the intervention.</w:t>
      </w:r>
      <w:r w:rsidRPr="00F47BE6">
        <w:rPr>
          <w:rFonts w:cs="Arial"/>
          <w:sz w:val="20"/>
          <w:szCs w:val="20"/>
        </w:rPr>
        <w:br/>
      </w:r>
      <w:r w:rsidRPr="00751DA1">
        <w:rPr>
          <w:rFonts w:cs="Arial"/>
          <w:sz w:val="20"/>
          <w:szCs w:val="20"/>
          <w:u w:val="single"/>
        </w:rPr>
        <w:t>Conclusions:</w:t>
      </w:r>
      <w:r w:rsidRPr="00F47BE6">
        <w:rPr>
          <w:rFonts w:cs="Arial"/>
          <w:sz w:val="20"/>
          <w:szCs w:val="20"/>
        </w:rPr>
        <w:t xml:space="preserve"> EHR functionality was feasible and reduced provider burden of coordinating procedures. Additionally, this functionality was noted to be used in other care settings outside of the pilot site indicating potential of generalizability.</w:t>
      </w:r>
    </w:p>
    <w:p w14:paraId="6552F7F0" w14:textId="77777777" w:rsidR="006104A9" w:rsidRDefault="006104A9" w:rsidP="00D36E11">
      <w:pPr>
        <w:spacing w:after="0" w:line="240" w:lineRule="auto"/>
        <w:rPr>
          <w:rFonts w:cs="Arial"/>
          <w:b/>
          <w:sz w:val="20"/>
          <w:szCs w:val="20"/>
        </w:rPr>
      </w:pPr>
    </w:p>
    <w:p w14:paraId="635396D4" w14:textId="2D0CF655"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Kristina Malik</w:t>
      </w:r>
      <w:r w:rsidR="007A7813">
        <w:rPr>
          <w:rFonts w:cs="Arial"/>
          <w:sz w:val="20"/>
          <w:szCs w:val="20"/>
        </w:rPr>
        <w:t xml:space="preserve"> (1,2)</w:t>
      </w:r>
      <w:r w:rsidR="007E38C3" w:rsidRPr="00F47BE6">
        <w:rPr>
          <w:rFonts w:cs="Arial"/>
          <w:sz w:val="20"/>
          <w:szCs w:val="20"/>
        </w:rPr>
        <w:t>, Kourtney Santucci</w:t>
      </w:r>
      <w:r w:rsidR="007A7813">
        <w:rPr>
          <w:rFonts w:cs="Arial"/>
          <w:sz w:val="20"/>
          <w:szCs w:val="20"/>
        </w:rPr>
        <w:t xml:space="preserve"> (1,2)</w:t>
      </w:r>
    </w:p>
    <w:p w14:paraId="55BE52A4" w14:textId="77777777" w:rsidR="006104A9" w:rsidRDefault="006104A9" w:rsidP="00D36E11">
      <w:pPr>
        <w:widowControl w:val="0"/>
        <w:autoSpaceDE w:val="0"/>
        <w:autoSpaceDN w:val="0"/>
        <w:spacing w:after="0" w:line="240" w:lineRule="auto"/>
        <w:rPr>
          <w:rFonts w:eastAsia="Arial" w:cs="Arial"/>
          <w:sz w:val="20"/>
          <w:szCs w:val="20"/>
          <w:lang w:bidi="en-US"/>
        </w:rPr>
      </w:pPr>
    </w:p>
    <w:p w14:paraId="6C80AE18" w14:textId="3AFEA2F5" w:rsidR="007A7813" w:rsidRPr="007A7813" w:rsidRDefault="007A7813" w:rsidP="00D36E11">
      <w:pPr>
        <w:widowControl w:val="0"/>
        <w:autoSpaceDE w:val="0"/>
        <w:autoSpaceDN w:val="0"/>
        <w:spacing w:after="0" w:line="240" w:lineRule="auto"/>
        <w:rPr>
          <w:rFonts w:eastAsia="Arial" w:cs="Arial"/>
          <w:sz w:val="20"/>
          <w:szCs w:val="20"/>
          <w:lang w:bidi="en-US"/>
        </w:rPr>
      </w:pPr>
      <w:r w:rsidRPr="007A7813">
        <w:rPr>
          <w:rFonts w:eastAsia="Arial" w:cs="Arial"/>
          <w:sz w:val="20"/>
          <w:szCs w:val="20"/>
          <w:lang w:bidi="en-US"/>
        </w:rPr>
        <w:t xml:space="preserve">(1) University of Colorado </w:t>
      </w:r>
      <w:r>
        <w:rPr>
          <w:rFonts w:eastAsia="Arial" w:cs="Arial"/>
          <w:sz w:val="20"/>
          <w:szCs w:val="20"/>
          <w:lang w:bidi="en-US"/>
        </w:rPr>
        <w:t>School of Medicine</w:t>
      </w:r>
    </w:p>
    <w:p w14:paraId="14914D1E" w14:textId="2B102FE1" w:rsidR="007A7813" w:rsidRPr="00F47BE6" w:rsidRDefault="007A7813" w:rsidP="00D36E11">
      <w:pPr>
        <w:widowControl w:val="0"/>
        <w:autoSpaceDE w:val="0"/>
        <w:autoSpaceDN w:val="0"/>
        <w:spacing w:after="0" w:line="240" w:lineRule="auto"/>
        <w:rPr>
          <w:rFonts w:cs="Arial"/>
          <w:sz w:val="20"/>
          <w:szCs w:val="20"/>
        </w:rPr>
      </w:pPr>
      <w:r w:rsidRPr="007A7813">
        <w:rPr>
          <w:rFonts w:eastAsia="Arial" w:cs="Arial"/>
          <w:sz w:val="20"/>
          <w:szCs w:val="20"/>
          <w:lang w:bidi="en-US"/>
        </w:rPr>
        <w:t xml:space="preserve">(2) </w:t>
      </w:r>
      <w:r>
        <w:rPr>
          <w:rFonts w:eastAsia="Arial" w:cs="Arial"/>
          <w:sz w:val="20"/>
          <w:szCs w:val="20"/>
          <w:lang w:bidi="en-US"/>
        </w:rPr>
        <w:t>Children’s Hospital Colorado</w:t>
      </w:r>
    </w:p>
    <w:p w14:paraId="18CE355C" w14:textId="77777777" w:rsidR="00002CD7" w:rsidRDefault="00002CD7" w:rsidP="00D36E11">
      <w:pPr>
        <w:spacing w:after="0" w:line="240" w:lineRule="auto"/>
        <w:rPr>
          <w:rFonts w:cs="Arial"/>
          <w:sz w:val="20"/>
          <w:szCs w:val="20"/>
        </w:rPr>
      </w:pPr>
    </w:p>
    <w:p w14:paraId="09884DC9" w14:textId="77777777" w:rsidR="006104A9" w:rsidRPr="00F47BE6" w:rsidRDefault="006104A9" w:rsidP="00D36E11">
      <w:pPr>
        <w:spacing w:after="0" w:line="240" w:lineRule="auto"/>
        <w:rPr>
          <w:rFonts w:cs="Arial"/>
          <w:sz w:val="20"/>
          <w:szCs w:val="20"/>
        </w:rPr>
      </w:pPr>
    </w:p>
    <w:p w14:paraId="4C0B6408" w14:textId="6C976C17" w:rsidR="00002CD7" w:rsidRPr="00751DA1" w:rsidRDefault="009C5DFC" w:rsidP="00D36E11">
      <w:pPr>
        <w:spacing w:after="0" w:line="240" w:lineRule="auto"/>
        <w:rPr>
          <w:rFonts w:cs="Arial"/>
          <w:sz w:val="20"/>
          <w:szCs w:val="20"/>
          <w:u w:val="single"/>
        </w:rPr>
      </w:pPr>
      <w:r>
        <w:rPr>
          <w:rFonts w:cs="Arial"/>
          <w:b/>
          <w:sz w:val="20"/>
          <w:szCs w:val="20"/>
          <w:u w:val="single"/>
        </w:rPr>
        <w:t xml:space="preserve">15. </w:t>
      </w:r>
      <w:r w:rsidR="007E38C3" w:rsidRPr="00751DA1">
        <w:rPr>
          <w:rFonts w:cs="Arial"/>
          <w:b/>
          <w:sz w:val="20"/>
          <w:szCs w:val="20"/>
          <w:u w:val="single"/>
        </w:rPr>
        <w:t>Implementation and Impact of Ambient AI Scribes in an Academic Emergency Department</w:t>
      </w:r>
    </w:p>
    <w:p w14:paraId="078B9E2D" w14:textId="77777777" w:rsidR="006104A9" w:rsidRDefault="006104A9" w:rsidP="00D36E11">
      <w:pPr>
        <w:spacing w:after="0" w:line="240" w:lineRule="auto"/>
        <w:rPr>
          <w:rFonts w:cs="Arial"/>
          <w:b/>
          <w:sz w:val="20"/>
          <w:szCs w:val="20"/>
        </w:rPr>
      </w:pPr>
    </w:p>
    <w:p w14:paraId="6C095248" w14:textId="4650098F"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Chelsea Hoffman, University of Colorado School of Medicine</w:t>
      </w:r>
    </w:p>
    <w:p w14:paraId="35DD301C" w14:textId="77777777" w:rsidR="006104A9" w:rsidRDefault="006104A9" w:rsidP="00D36E11">
      <w:pPr>
        <w:spacing w:after="0" w:line="240" w:lineRule="auto"/>
        <w:rPr>
          <w:rFonts w:cs="Arial"/>
          <w:b/>
          <w:bCs/>
          <w:sz w:val="20"/>
          <w:szCs w:val="20"/>
        </w:rPr>
      </w:pPr>
    </w:p>
    <w:p w14:paraId="3CA68A05" w14:textId="123FD50E" w:rsidR="00002CD7" w:rsidRPr="00F47BE6" w:rsidRDefault="007E38C3" w:rsidP="00D36E11">
      <w:pPr>
        <w:spacing w:after="0" w:line="240" w:lineRule="auto"/>
        <w:rPr>
          <w:rFonts w:cs="Arial"/>
          <w:sz w:val="20"/>
          <w:szCs w:val="20"/>
        </w:rPr>
      </w:pPr>
      <w:r w:rsidRPr="00751DA1">
        <w:rPr>
          <w:rFonts w:cs="Arial"/>
          <w:sz w:val="20"/>
          <w:szCs w:val="20"/>
          <w:u w:val="single"/>
        </w:rPr>
        <w:t>Introduction:</w:t>
      </w:r>
      <w:r w:rsidRPr="00F47BE6">
        <w:rPr>
          <w:rFonts w:cs="Arial"/>
          <w:sz w:val="20"/>
          <w:szCs w:val="20"/>
        </w:rPr>
        <w:t xml:space="preserve"> Electronic health records (EHRs) have increased documentation burden. Ambient artificial intelligence (AI) scribe tools generate draft documentation from clinician-patient conversations. Although these tools have shown promise in ambulatory settings, little is known about their implementation in emergency medicine. This study evaluated clinician adoption and implementation of an ambient AI scribe tool in an academic emergency department (ED). </w:t>
      </w:r>
      <w:r w:rsidRPr="00F47BE6">
        <w:rPr>
          <w:rFonts w:cs="Arial"/>
          <w:sz w:val="20"/>
          <w:szCs w:val="20"/>
        </w:rPr>
        <w:br/>
      </w:r>
      <w:r w:rsidRPr="00751DA1">
        <w:rPr>
          <w:rFonts w:cs="Arial"/>
          <w:sz w:val="20"/>
          <w:szCs w:val="20"/>
          <w:u w:val="single"/>
        </w:rPr>
        <w:t>Methods:</w:t>
      </w:r>
      <w:r w:rsidRPr="00F47BE6">
        <w:rPr>
          <w:rFonts w:cs="Arial"/>
          <w:sz w:val="20"/>
          <w:szCs w:val="20"/>
        </w:rPr>
        <w:t xml:space="preserve"> A pre-post survey study evaluated implementation of an ambient AI scribe. The pre-implementation survey was distributed to ED attendings, residents, and advanced practice providers (APPs) (N = 142/238; 60% response rate), followed by a post-implementation survey 7 months later (N =117/244; 48% response rate). Measures included the Acceptability of Intervention Measure (AIM), Intervention Appropriateness Measure (IAM), Feasibility of Intervention Measure (FIM), self-reported adoption, and perceived impact on documentation. Descriptive statistics and paired sample t-tests were performed. </w:t>
      </w:r>
      <w:r w:rsidRPr="00F47BE6">
        <w:rPr>
          <w:rFonts w:cs="Arial"/>
          <w:sz w:val="20"/>
          <w:szCs w:val="20"/>
        </w:rPr>
        <w:br/>
      </w:r>
      <w:r w:rsidRPr="00751DA1">
        <w:rPr>
          <w:rFonts w:cs="Arial"/>
          <w:sz w:val="20"/>
          <w:szCs w:val="20"/>
          <w:u w:val="single"/>
        </w:rPr>
        <w:t>Results:</w:t>
      </w:r>
      <w:r w:rsidRPr="00F47BE6">
        <w:rPr>
          <w:rFonts w:cs="Arial"/>
          <w:sz w:val="20"/>
          <w:szCs w:val="20"/>
        </w:rPr>
        <w:t xml:space="preserve"> Post-implementation, 88.2% of attending physicians and 83.3% of residents and APPs reported using the ambient AI scribe tool. Pre-post-implementation within-subject differences showed experiences with ambient AI documentation were better than expected. Among matched respondents, AIM scores increased from 3.61 pre-implementation to 3.90 post-implementation (p=.029). IAM increased from 3.77 to 4.01 (p=.034) and FIM from 3.91 to 4.31 (p&lt;.001). Charting burden (p&lt;.001) and time (p=.030) decreased. Among clinicians who used the AI scribe tool, perceived usefulness varied by case complexity. The tool was rated as very or extremely useful by 68.9% for simple cases with no complicating features. Intention to use increased from 43.9% before implementation to 63.5% after implementation. Clinicians selectively integrated the tool into encounters where it provided the perceived value. </w:t>
      </w:r>
      <w:r w:rsidRPr="00F47BE6">
        <w:rPr>
          <w:rFonts w:cs="Arial"/>
          <w:sz w:val="20"/>
          <w:szCs w:val="20"/>
        </w:rPr>
        <w:br/>
      </w:r>
      <w:r w:rsidRPr="00751DA1">
        <w:rPr>
          <w:rFonts w:cs="Arial"/>
          <w:sz w:val="20"/>
          <w:szCs w:val="20"/>
          <w:u w:val="single"/>
        </w:rPr>
        <w:t>Discussion:</w:t>
      </w:r>
      <w:r w:rsidRPr="00F47BE6">
        <w:rPr>
          <w:rFonts w:cs="Arial"/>
          <w:sz w:val="20"/>
          <w:szCs w:val="20"/>
        </w:rPr>
        <w:t xml:space="preserve"> The ambient AI scribe tool was successfully implemented in an academic ED and was preferentially used for lower-acuity, less complex encounters. Rather than replacing physician judgment, clinicians selectively integrated the technology into existing workflows while maintaining clinical oversight.</w:t>
      </w:r>
    </w:p>
    <w:p w14:paraId="5EEAB338" w14:textId="77777777" w:rsidR="006104A9" w:rsidRDefault="006104A9" w:rsidP="00D36E11">
      <w:pPr>
        <w:spacing w:after="0" w:line="240" w:lineRule="auto"/>
        <w:rPr>
          <w:rFonts w:cs="Arial"/>
          <w:b/>
          <w:sz w:val="20"/>
          <w:szCs w:val="20"/>
        </w:rPr>
      </w:pPr>
    </w:p>
    <w:p w14:paraId="5C09B104" w14:textId="018B7A97"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Chelsea Hoffman, MPH</w:t>
      </w:r>
      <w:r w:rsidR="00986BC1">
        <w:rPr>
          <w:rFonts w:cs="Arial"/>
          <w:sz w:val="20"/>
          <w:szCs w:val="20"/>
        </w:rPr>
        <w:t xml:space="preserve"> (1), </w:t>
      </w:r>
      <w:r w:rsidR="007E38C3" w:rsidRPr="00F47BE6">
        <w:rPr>
          <w:rFonts w:cs="Arial"/>
          <w:sz w:val="20"/>
          <w:szCs w:val="20"/>
        </w:rPr>
        <w:t>Christie Hartman, PhD</w:t>
      </w:r>
      <w:r w:rsidR="00986BC1">
        <w:rPr>
          <w:rFonts w:cs="Arial"/>
          <w:sz w:val="20"/>
          <w:szCs w:val="20"/>
        </w:rPr>
        <w:t xml:space="preserve"> (1), </w:t>
      </w:r>
      <w:r w:rsidR="007E38C3" w:rsidRPr="00F47BE6">
        <w:rPr>
          <w:rFonts w:cs="Arial"/>
          <w:sz w:val="20"/>
          <w:szCs w:val="20"/>
        </w:rPr>
        <w:t>Kelly Bookman, MD</w:t>
      </w:r>
      <w:r w:rsidR="00986BC1">
        <w:rPr>
          <w:rFonts w:cs="Arial"/>
          <w:sz w:val="20"/>
          <w:szCs w:val="20"/>
        </w:rPr>
        <w:t xml:space="preserve"> (1), </w:t>
      </w:r>
      <w:r w:rsidR="007E38C3" w:rsidRPr="00F47BE6">
        <w:rPr>
          <w:rFonts w:cs="Arial"/>
          <w:sz w:val="20"/>
          <w:szCs w:val="20"/>
        </w:rPr>
        <w:t xml:space="preserve">Joseph Brown, MD </w:t>
      </w:r>
      <w:r w:rsidR="00986BC1">
        <w:rPr>
          <w:rFonts w:cs="Arial"/>
          <w:sz w:val="20"/>
          <w:szCs w:val="20"/>
        </w:rPr>
        <w:t xml:space="preserve">(1), </w:t>
      </w:r>
      <w:r w:rsidR="007E38C3" w:rsidRPr="00F47BE6">
        <w:rPr>
          <w:rFonts w:cs="Arial"/>
          <w:sz w:val="20"/>
          <w:szCs w:val="20"/>
        </w:rPr>
        <w:t>Miya Holley, MD</w:t>
      </w:r>
      <w:r w:rsidR="00986BC1">
        <w:rPr>
          <w:rFonts w:cs="Arial"/>
          <w:sz w:val="20"/>
          <w:szCs w:val="20"/>
        </w:rPr>
        <w:t xml:space="preserve"> (2), </w:t>
      </w:r>
      <w:r w:rsidR="007E38C3" w:rsidRPr="00F47BE6">
        <w:rPr>
          <w:rFonts w:cs="Arial"/>
          <w:sz w:val="20"/>
          <w:szCs w:val="20"/>
        </w:rPr>
        <w:t xml:space="preserve">Cody McIlvain, MD </w:t>
      </w:r>
      <w:r w:rsidR="00986BC1">
        <w:rPr>
          <w:rFonts w:cs="Arial"/>
          <w:sz w:val="20"/>
          <w:szCs w:val="20"/>
        </w:rPr>
        <w:t xml:space="preserve">(1), </w:t>
      </w:r>
      <w:r w:rsidR="007E38C3" w:rsidRPr="00F47BE6">
        <w:rPr>
          <w:rFonts w:cs="Arial"/>
          <w:sz w:val="20"/>
          <w:szCs w:val="20"/>
        </w:rPr>
        <w:t>Kristen Nordenholz, MD, MSc, FACEP</w:t>
      </w:r>
      <w:r w:rsidR="00986BC1">
        <w:rPr>
          <w:rFonts w:cs="Arial"/>
          <w:sz w:val="20"/>
          <w:szCs w:val="20"/>
        </w:rPr>
        <w:t xml:space="preserve"> (1), </w:t>
      </w:r>
      <w:r w:rsidR="007E38C3" w:rsidRPr="00F47BE6">
        <w:rPr>
          <w:rFonts w:cs="Arial"/>
          <w:sz w:val="20"/>
          <w:szCs w:val="20"/>
        </w:rPr>
        <w:t>Bethany Kwan, PhD, MSPH, FSBM</w:t>
      </w:r>
      <w:r w:rsidR="00986BC1">
        <w:rPr>
          <w:rFonts w:cs="Arial"/>
          <w:sz w:val="20"/>
          <w:szCs w:val="20"/>
        </w:rPr>
        <w:t xml:space="preserve"> (1)</w:t>
      </w:r>
    </w:p>
    <w:p w14:paraId="4422A61F" w14:textId="77777777" w:rsidR="006104A9" w:rsidRDefault="006104A9" w:rsidP="00D36E11">
      <w:pPr>
        <w:spacing w:after="0" w:line="240" w:lineRule="auto"/>
        <w:rPr>
          <w:sz w:val="20"/>
          <w:szCs w:val="20"/>
        </w:rPr>
      </w:pPr>
    </w:p>
    <w:p w14:paraId="022A78B4" w14:textId="15C510D0" w:rsidR="00986BC1" w:rsidRPr="008F7CC4" w:rsidRDefault="00986BC1" w:rsidP="00D36E11">
      <w:pPr>
        <w:spacing w:after="0" w:line="240" w:lineRule="auto"/>
        <w:rPr>
          <w:sz w:val="20"/>
          <w:szCs w:val="20"/>
        </w:rPr>
      </w:pPr>
      <w:r>
        <w:rPr>
          <w:sz w:val="20"/>
          <w:szCs w:val="20"/>
        </w:rPr>
        <w:t xml:space="preserve">(1) </w:t>
      </w:r>
      <w:r w:rsidRPr="00F47BE6">
        <w:rPr>
          <w:rFonts w:cs="Arial"/>
          <w:sz w:val="20"/>
          <w:szCs w:val="20"/>
        </w:rPr>
        <w:t>Department of Emergency Medicine, University of Colorado School of Medicine</w:t>
      </w:r>
      <w:r w:rsidRPr="00F47BE6">
        <w:rPr>
          <w:rFonts w:cs="Arial"/>
          <w:sz w:val="20"/>
          <w:szCs w:val="20"/>
        </w:rPr>
        <w:br/>
      </w:r>
      <w:r>
        <w:rPr>
          <w:sz w:val="20"/>
          <w:szCs w:val="20"/>
        </w:rPr>
        <w:t xml:space="preserve">(2) </w:t>
      </w:r>
      <w:r w:rsidRPr="00F47BE6">
        <w:rPr>
          <w:rFonts w:cs="Arial"/>
          <w:sz w:val="20"/>
          <w:szCs w:val="20"/>
        </w:rPr>
        <w:t>Department of Emergency Medicine, Denver Health Medical Center</w:t>
      </w:r>
    </w:p>
    <w:p w14:paraId="7AD8C010" w14:textId="77777777" w:rsidR="00002CD7" w:rsidRDefault="00002CD7" w:rsidP="00D36E11">
      <w:pPr>
        <w:spacing w:after="0" w:line="240" w:lineRule="auto"/>
        <w:rPr>
          <w:rFonts w:cs="Arial"/>
          <w:sz w:val="20"/>
          <w:szCs w:val="20"/>
        </w:rPr>
      </w:pPr>
    </w:p>
    <w:p w14:paraId="780524BC" w14:textId="77777777" w:rsidR="006104A9" w:rsidRPr="00F47BE6" w:rsidRDefault="006104A9" w:rsidP="00D36E11">
      <w:pPr>
        <w:spacing w:after="0" w:line="240" w:lineRule="auto"/>
        <w:rPr>
          <w:rFonts w:cs="Arial"/>
          <w:sz w:val="20"/>
          <w:szCs w:val="20"/>
        </w:rPr>
      </w:pPr>
    </w:p>
    <w:p w14:paraId="1D190A89" w14:textId="08CACB29" w:rsidR="00002CD7" w:rsidRPr="00751DA1" w:rsidRDefault="009F0C83" w:rsidP="00D36E11">
      <w:pPr>
        <w:spacing w:after="0" w:line="240" w:lineRule="auto"/>
        <w:rPr>
          <w:rFonts w:cs="Arial"/>
          <w:sz w:val="20"/>
          <w:szCs w:val="20"/>
          <w:u w:val="single"/>
        </w:rPr>
      </w:pPr>
      <w:r>
        <w:rPr>
          <w:rFonts w:cs="Arial"/>
          <w:b/>
          <w:sz w:val="20"/>
          <w:szCs w:val="20"/>
          <w:u w:val="single"/>
        </w:rPr>
        <w:t xml:space="preserve">16. </w:t>
      </w:r>
      <w:r w:rsidR="007E38C3" w:rsidRPr="00751DA1">
        <w:rPr>
          <w:rFonts w:cs="Arial"/>
          <w:b/>
          <w:sz w:val="20"/>
          <w:szCs w:val="20"/>
          <w:u w:val="single"/>
        </w:rPr>
        <w:t xml:space="preserve">Co-designing motivational messages for whole </w:t>
      </w:r>
      <w:proofErr w:type="gramStart"/>
      <w:r w:rsidR="007E38C3" w:rsidRPr="00751DA1">
        <w:rPr>
          <w:rFonts w:cs="Arial"/>
          <w:b/>
          <w:sz w:val="20"/>
          <w:szCs w:val="20"/>
          <w:u w:val="single"/>
        </w:rPr>
        <w:t>person</w:t>
      </w:r>
      <w:proofErr w:type="gramEnd"/>
      <w:r w:rsidR="007E38C3" w:rsidRPr="00751DA1">
        <w:rPr>
          <w:rFonts w:cs="Arial"/>
          <w:b/>
          <w:sz w:val="20"/>
          <w:szCs w:val="20"/>
          <w:u w:val="single"/>
        </w:rPr>
        <w:t xml:space="preserve"> health: Integrating behavioral theory, community engagement, and artificial intelligence tools</w:t>
      </w:r>
    </w:p>
    <w:p w14:paraId="687C11F8" w14:textId="77777777" w:rsidR="007A7813" w:rsidRDefault="007A7813" w:rsidP="00D36E11">
      <w:pPr>
        <w:spacing w:after="0" w:line="240" w:lineRule="auto"/>
        <w:rPr>
          <w:rFonts w:cs="Arial"/>
          <w:b/>
          <w:sz w:val="20"/>
          <w:szCs w:val="20"/>
        </w:rPr>
      </w:pPr>
    </w:p>
    <w:p w14:paraId="64B5E470" w14:textId="038D8D8D" w:rsidR="00002CD7" w:rsidRPr="00F47BE6" w:rsidRDefault="007E38C3" w:rsidP="00D36E11">
      <w:pPr>
        <w:spacing w:after="0" w:line="240" w:lineRule="auto"/>
        <w:rPr>
          <w:rFonts w:cs="Arial"/>
          <w:sz w:val="20"/>
          <w:szCs w:val="20"/>
        </w:rPr>
      </w:pPr>
      <w:r w:rsidRPr="00F47BE6">
        <w:rPr>
          <w:rFonts w:cs="Arial"/>
          <w:b/>
          <w:sz w:val="20"/>
          <w:szCs w:val="20"/>
        </w:rPr>
        <w:lastRenderedPageBreak/>
        <w:t xml:space="preserve">Presenting Author: </w:t>
      </w:r>
      <w:r w:rsidRPr="00F47BE6">
        <w:rPr>
          <w:rFonts w:cs="Arial"/>
          <w:sz w:val="20"/>
          <w:szCs w:val="20"/>
        </w:rPr>
        <w:t>Emily Dunston, University of Colorado School of Medicine</w:t>
      </w:r>
    </w:p>
    <w:p w14:paraId="3A93092F" w14:textId="77777777" w:rsidR="007A7813" w:rsidRDefault="007A7813" w:rsidP="00D36E11">
      <w:pPr>
        <w:spacing w:after="0" w:line="240" w:lineRule="auto"/>
        <w:rPr>
          <w:rFonts w:cs="Arial"/>
          <w:b/>
          <w:bCs/>
          <w:sz w:val="20"/>
          <w:szCs w:val="20"/>
        </w:rPr>
      </w:pPr>
    </w:p>
    <w:p w14:paraId="31097F25" w14:textId="7ACA3653"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Co-design is widely used to develop interventions and implementation strategies; however, it can be time- and resource-intensive. To streamline the process, we leveraged artificial intelligence (AI) to generate behavioral theory-informed motivational messages to refine with partners. In this abstract we: 1) characterize a partner-engaged process for integrating AI into co-design and 2) identify practical considerations for using AI in partner-engaged co-design. </w:t>
      </w:r>
      <w:r w:rsidRPr="00F47BE6">
        <w:rPr>
          <w:rFonts w:cs="Arial"/>
          <w:sz w:val="20"/>
          <w:szCs w:val="20"/>
        </w:rPr>
        <w:br/>
      </w:r>
      <w:r w:rsidRPr="00751DA1">
        <w:rPr>
          <w:rFonts w:cs="Arial"/>
          <w:sz w:val="20"/>
          <w:szCs w:val="20"/>
          <w:u w:val="single"/>
        </w:rPr>
        <w:t>Methods:</w:t>
      </w:r>
      <w:r w:rsidRPr="00F47BE6">
        <w:rPr>
          <w:rFonts w:cs="Arial"/>
          <w:sz w:val="20"/>
          <w:szCs w:val="20"/>
        </w:rPr>
        <w:t xml:space="preserve"> We co-designed patient-facing motivational messages using Self-Determination Theory (SDT) for the text messaging arm of a health behavior change intervention in primary care, the Colorado My Own Health Report (CO-MOHR). CO-MOHR targets a patient’s top priority across six Whole-Person health domains: 1) physical activity, 2) sleep, 3) stress, 4) fast-food consumption, 5) sugary beverage consumption, and 6) fruit and vegetable consumption. AI (ChatGPT EDU) drafted the initial messages for each domain with weekly themes (e.g., tracking progress). We iteratively refined the messages with our research team followed by input from partners including patients, community health workers, health system representatives, and health behavior content experts. </w:t>
      </w:r>
      <w:r w:rsidRPr="00F47BE6">
        <w:rPr>
          <w:rFonts w:cs="Arial"/>
          <w:sz w:val="20"/>
          <w:szCs w:val="20"/>
        </w:rPr>
        <w:br/>
      </w:r>
      <w:r w:rsidRPr="00751DA1">
        <w:rPr>
          <w:rFonts w:cs="Arial"/>
          <w:sz w:val="20"/>
          <w:szCs w:val="20"/>
          <w:u w:val="single"/>
        </w:rPr>
        <w:t>Results:</w:t>
      </w:r>
      <w:r w:rsidRPr="00F47BE6">
        <w:rPr>
          <w:rFonts w:cs="Arial"/>
          <w:sz w:val="20"/>
          <w:szCs w:val="20"/>
        </w:rPr>
        <w:t xml:space="preserve"> We completed six iterations to generate n=372 messages. While the AI-generated messages reflected SDT constructs, we noted assumptions about patients (i.e., assuming everyone lives with someone), bias (i.e., defaulting to he/</w:t>
      </w:r>
      <w:proofErr w:type="gramStart"/>
      <w:r w:rsidRPr="00F47BE6">
        <w:rPr>
          <w:rFonts w:cs="Arial"/>
          <w:sz w:val="20"/>
          <w:szCs w:val="20"/>
        </w:rPr>
        <w:t>him</w:t>
      </w:r>
      <w:proofErr w:type="gramEnd"/>
      <w:r w:rsidRPr="00F47BE6">
        <w:rPr>
          <w:rFonts w:cs="Arial"/>
          <w:sz w:val="20"/>
          <w:szCs w:val="20"/>
        </w:rPr>
        <w:t xml:space="preserve"> pronouns), robotic tone, and awkward language as common concerns. Patient feedback centered around making messages easy to understand and authentic. Community health workers emphasized making the tone more encouraging and friendly. Health system partners raised feasibility concerns about message length, while content expert feedback focused on accuracy. </w:t>
      </w:r>
      <w:r w:rsidRPr="00F47BE6">
        <w:rPr>
          <w:rFonts w:cs="Arial"/>
          <w:sz w:val="20"/>
          <w:szCs w:val="20"/>
        </w:rPr>
        <w:br/>
      </w:r>
      <w:r w:rsidRPr="00751DA1">
        <w:rPr>
          <w:rFonts w:cs="Arial"/>
          <w:sz w:val="20"/>
          <w:szCs w:val="20"/>
          <w:u w:val="single"/>
        </w:rPr>
        <w:t>Discussion:</w:t>
      </w:r>
      <w:r w:rsidRPr="00F47BE6">
        <w:rPr>
          <w:rFonts w:cs="Arial"/>
          <w:sz w:val="20"/>
          <w:szCs w:val="20"/>
        </w:rPr>
        <w:t xml:space="preserve"> AI rapidly generated draft messages grounded in behavioral theory. However, substantial partner engagement was critical to refine messages that were initially off-putting to patients and not feasible within health system constraints. Future research should consider AI as one component of a broader partner-engaged process rather than a replacement for iterative partner engagement.</w:t>
      </w:r>
    </w:p>
    <w:p w14:paraId="28D4369C" w14:textId="77777777" w:rsidR="007A7813" w:rsidRDefault="007A7813" w:rsidP="00D36E11">
      <w:pPr>
        <w:spacing w:after="0" w:line="240" w:lineRule="auto"/>
        <w:rPr>
          <w:rFonts w:cs="Arial"/>
          <w:b/>
          <w:sz w:val="20"/>
          <w:szCs w:val="20"/>
        </w:rPr>
      </w:pPr>
    </w:p>
    <w:p w14:paraId="545F7BD7" w14:textId="35D433CE"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Emily R. Dunston </w:t>
      </w:r>
      <w:r w:rsidR="00EB64C4">
        <w:rPr>
          <w:rFonts w:cs="Arial"/>
          <w:sz w:val="20"/>
          <w:szCs w:val="20"/>
        </w:rPr>
        <w:t xml:space="preserve">(1,2), </w:t>
      </w:r>
      <w:r w:rsidR="007E38C3" w:rsidRPr="00F47BE6">
        <w:rPr>
          <w:rFonts w:cs="Arial"/>
          <w:sz w:val="20"/>
          <w:szCs w:val="20"/>
        </w:rPr>
        <w:t>Bryan Ford</w:t>
      </w:r>
      <w:r w:rsidR="00EB64C4">
        <w:rPr>
          <w:rFonts w:cs="Arial"/>
          <w:sz w:val="20"/>
          <w:szCs w:val="20"/>
        </w:rPr>
        <w:t xml:space="preserve"> (2)</w:t>
      </w:r>
      <w:r w:rsidR="007E38C3" w:rsidRPr="00F47BE6">
        <w:rPr>
          <w:rFonts w:cs="Arial"/>
          <w:sz w:val="20"/>
          <w:szCs w:val="20"/>
        </w:rPr>
        <w:t>, Kiana White</w:t>
      </w:r>
      <w:r w:rsidR="00EB64C4">
        <w:rPr>
          <w:rFonts w:cs="Arial"/>
          <w:sz w:val="20"/>
          <w:szCs w:val="20"/>
        </w:rPr>
        <w:t xml:space="preserve"> (2)</w:t>
      </w:r>
      <w:r w:rsidR="007E38C3" w:rsidRPr="00F47BE6">
        <w:rPr>
          <w:rFonts w:cs="Arial"/>
          <w:sz w:val="20"/>
          <w:szCs w:val="20"/>
        </w:rPr>
        <w:t>, Demetria M. Bolden</w:t>
      </w:r>
      <w:r w:rsidR="00EB64C4">
        <w:rPr>
          <w:rFonts w:cs="Arial"/>
          <w:sz w:val="20"/>
          <w:szCs w:val="20"/>
        </w:rPr>
        <w:t xml:space="preserve"> (1,2)</w:t>
      </w:r>
      <w:r w:rsidR="007E38C3" w:rsidRPr="00F47BE6">
        <w:rPr>
          <w:rFonts w:cs="Arial"/>
          <w:sz w:val="20"/>
          <w:szCs w:val="20"/>
        </w:rPr>
        <w:t>,</w:t>
      </w:r>
      <w:r w:rsidR="00EB64C4">
        <w:rPr>
          <w:rFonts w:cs="Arial"/>
          <w:sz w:val="20"/>
          <w:szCs w:val="20"/>
        </w:rPr>
        <w:t xml:space="preserve"> </w:t>
      </w:r>
      <w:r w:rsidR="007E38C3" w:rsidRPr="00F47BE6">
        <w:rPr>
          <w:rFonts w:cs="Arial"/>
          <w:sz w:val="20"/>
          <w:szCs w:val="20"/>
        </w:rPr>
        <w:t>James Mitchell</w:t>
      </w:r>
      <w:r w:rsidR="00EB64C4">
        <w:rPr>
          <w:rFonts w:cs="Arial"/>
          <w:sz w:val="20"/>
          <w:szCs w:val="20"/>
        </w:rPr>
        <w:t xml:space="preserve"> (3)</w:t>
      </w:r>
      <w:r w:rsidR="007E38C3" w:rsidRPr="00F47BE6">
        <w:rPr>
          <w:rFonts w:cs="Arial"/>
          <w:sz w:val="20"/>
          <w:szCs w:val="20"/>
        </w:rPr>
        <w:t>, Andrea Nederveld</w:t>
      </w:r>
      <w:r w:rsidR="002B7A5D">
        <w:rPr>
          <w:rFonts w:cs="Arial"/>
          <w:sz w:val="20"/>
          <w:szCs w:val="20"/>
        </w:rPr>
        <w:t xml:space="preserve"> (4)</w:t>
      </w:r>
      <w:r w:rsidR="007E38C3" w:rsidRPr="00F47BE6">
        <w:rPr>
          <w:rFonts w:cs="Arial"/>
          <w:sz w:val="20"/>
          <w:szCs w:val="20"/>
        </w:rPr>
        <w:t>, Russell E. Glasgow</w:t>
      </w:r>
      <w:r w:rsidR="002B7A5D">
        <w:rPr>
          <w:rFonts w:cs="Arial"/>
          <w:sz w:val="20"/>
          <w:szCs w:val="20"/>
        </w:rPr>
        <w:t xml:space="preserve"> (2,4)</w:t>
      </w:r>
      <w:r w:rsidR="007E38C3" w:rsidRPr="00F47BE6">
        <w:rPr>
          <w:rFonts w:cs="Arial"/>
          <w:sz w:val="20"/>
          <w:szCs w:val="20"/>
        </w:rPr>
        <w:t>, Amy G. Huebschmann</w:t>
      </w:r>
      <w:r w:rsidR="002B7A5D">
        <w:rPr>
          <w:rFonts w:cs="Arial"/>
          <w:sz w:val="20"/>
          <w:szCs w:val="20"/>
        </w:rPr>
        <w:t xml:space="preserve"> (1,2,5)</w:t>
      </w:r>
    </w:p>
    <w:p w14:paraId="5B4837EF" w14:textId="77777777" w:rsidR="007A7813" w:rsidRDefault="007A7813" w:rsidP="00D36E11">
      <w:pPr>
        <w:spacing w:after="0" w:line="240" w:lineRule="auto"/>
        <w:rPr>
          <w:sz w:val="20"/>
          <w:szCs w:val="20"/>
        </w:rPr>
      </w:pPr>
    </w:p>
    <w:p w14:paraId="3781491A" w14:textId="703FD12A" w:rsidR="00EB64C4" w:rsidRDefault="00EB64C4" w:rsidP="00D36E11">
      <w:pPr>
        <w:spacing w:after="0" w:line="240" w:lineRule="auto"/>
        <w:rPr>
          <w:sz w:val="20"/>
          <w:szCs w:val="20"/>
        </w:rPr>
      </w:pPr>
      <w:r>
        <w:rPr>
          <w:sz w:val="20"/>
          <w:szCs w:val="20"/>
        </w:rPr>
        <w:t xml:space="preserve">(1) </w:t>
      </w:r>
      <w:r w:rsidRPr="00F47BE6">
        <w:rPr>
          <w:rFonts w:cs="Arial"/>
          <w:sz w:val="20"/>
          <w:szCs w:val="20"/>
        </w:rPr>
        <w:t>Division of General Internal Medicine,</w:t>
      </w:r>
      <w:r>
        <w:rPr>
          <w:sz w:val="20"/>
          <w:szCs w:val="20"/>
        </w:rPr>
        <w:t xml:space="preserve"> </w:t>
      </w:r>
      <w:r w:rsidRPr="00F47BE6">
        <w:rPr>
          <w:rFonts w:cs="Arial"/>
          <w:sz w:val="20"/>
          <w:szCs w:val="20"/>
        </w:rPr>
        <w:t>University of Colorado Anschutz</w:t>
      </w:r>
      <w:r w:rsidRPr="00F47BE6">
        <w:rPr>
          <w:rFonts w:cs="Arial"/>
          <w:sz w:val="20"/>
          <w:szCs w:val="20"/>
        </w:rPr>
        <w:br/>
      </w:r>
      <w:r>
        <w:rPr>
          <w:sz w:val="20"/>
          <w:szCs w:val="20"/>
        </w:rPr>
        <w:t xml:space="preserve">(2) </w:t>
      </w:r>
      <w:r w:rsidRPr="006B13AC">
        <w:rPr>
          <w:sz w:val="20"/>
          <w:szCs w:val="20"/>
        </w:rPr>
        <w:t>Adult and Child Center for Outcomes Research and Delivery Science</w:t>
      </w:r>
      <w:r w:rsidRPr="00F47BE6">
        <w:rPr>
          <w:sz w:val="20"/>
          <w:szCs w:val="20"/>
        </w:rPr>
        <w:t xml:space="preserve"> </w:t>
      </w:r>
      <w:r>
        <w:rPr>
          <w:sz w:val="20"/>
          <w:szCs w:val="20"/>
        </w:rPr>
        <w:t>(</w:t>
      </w:r>
      <w:r w:rsidRPr="00F47BE6">
        <w:rPr>
          <w:rFonts w:cs="Arial"/>
          <w:sz w:val="20"/>
          <w:szCs w:val="20"/>
        </w:rPr>
        <w:t>ACCORDS</w:t>
      </w:r>
      <w:r>
        <w:rPr>
          <w:sz w:val="20"/>
          <w:szCs w:val="20"/>
        </w:rPr>
        <w:t>)</w:t>
      </w:r>
      <w:r w:rsidRPr="00F47BE6">
        <w:rPr>
          <w:rFonts w:cs="Arial"/>
          <w:sz w:val="20"/>
          <w:szCs w:val="20"/>
        </w:rPr>
        <w:t>, University of Colorado Anschutz</w:t>
      </w:r>
    </w:p>
    <w:p w14:paraId="75DE446F" w14:textId="77777777" w:rsidR="00EB64C4" w:rsidRPr="008F7CC4" w:rsidRDefault="00EB64C4" w:rsidP="00D36E11">
      <w:pPr>
        <w:spacing w:after="0" w:line="240" w:lineRule="auto"/>
        <w:rPr>
          <w:sz w:val="20"/>
          <w:szCs w:val="20"/>
        </w:rPr>
      </w:pPr>
      <w:r>
        <w:rPr>
          <w:sz w:val="20"/>
          <w:szCs w:val="20"/>
        </w:rPr>
        <w:t xml:space="preserve">(3) </w:t>
      </w:r>
      <w:r w:rsidRPr="00F47BE6">
        <w:rPr>
          <w:rFonts w:cs="Arial"/>
          <w:sz w:val="20"/>
          <w:szCs w:val="20"/>
        </w:rPr>
        <w:t>Department of Biomedical Informatics</w:t>
      </w:r>
      <w:r>
        <w:rPr>
          <w:sz w:val="20"/>
          <w:szCs w:val="20"/>
        </w:rPr>
        <w:t xml:space="preserve">, </w:t>
      </w:r>
      <w:r w:rsidRPr="00F47BE6">
        <w:rPr>
          <w:rFonts w:cs="Arial"/>
          <w:sz w:val="20"/>
          <w:szCs w:val="20"/>
        </w:rPr>
        <w:t>University of Colorado Anschutz</w:t>
      </w:r>
      <w:r w:rsidRPr="00F47BE6">
        <w:rPr>
          <w:rFonts w:cs="Arial"/>
          <w:sz w:val="20"/>
          <w:szCs w:val="20"/>
        </w:rPr>
        <w:br/>
      </w:r>
      <w:r>
        <w:rPr>
          <w:sz w:val="20"/>
          <w:szCs w:val="20"/>
        </w:rPr>
        <w:t xml:space="preserve">(4) </w:t>
      </w:r>
      <w:r w:rsidRPr="00F47BE6">
        <w:rPr>
          <w:rFonts w:cs="Arial"/>
          <w:sz w:val="20"/>
          <w:szCs w:val="20"/>
        </w:rPr>
        <w:t>Department of Family Medicine, University of Colorado Anschutz</w:t>
      </w:r>
      <w:r w:rsidRPr="00F47BE6">
        <w:rPr>
          <w:rFonts w:cs="Arial"/>
          <w:sz w:val="20"/>
          <w:szCs w:val="20"/>
        </w:rPr>
        <w:br/>
      </w:r>
      <w:r>
        <w:rPr>
          <w:sz w:val="20"/>
          <w:szCs w:val="20"/>
        </w:rPr>
        <w:t xml:space="preserve">(5) </w:t>
      </w:r>
      <w:r w:rsidRPr="00F47BE6">
        <w:rPr>
          <w:rFonts w:cs="Arial"/>
          <w:sz w:val="20"/>
          <w:szCs w:val="20"/>
        </w:rPr>
        <w:t>Ludeman Family Center for Women's Health Research</w:t>
      </w:r>
    </w:p>
    <w:p w14:paraId="6E1ED94B" w14:textId="77777777" w:rsidR="00002CD7" w:rsidRDefault="00002CD7" w:rsidP="00D36E11">
      <w:pPr>
        <w:spacing w:after="0" w:line="240" w:lineRule="auto"/>
        <w:rPr>
          <w:rFonts w:cs="Arial"/>
          <w:sz w:val="20"/>
          <w:szCs w:val="20"/>
        </w:rPr>
      </w:pPr>
    </w:p>
    <w:p w14:paraId="3D551A4A" w14:textId="77777777" w:rsidR="007A7813" w:rsidRPr="00F47BE6" w:rsidRDefault="007A7813" w:rsidP="00D36E11">
      <w:pPr>
        <w:spacing w:after="0" w:line="240" w:lineRule="auto"/>
        <w:rPr>
          <w:rFonts w:cs="Arial"/>
          <w:sz w:val="20"/>
          <w:szCs w:val="20"/>
        </w:rPr>
      </w:pPr>
    </w:p>
    <w:p w14:paraId="48AE3C24" w14:textId="524E4F53" w:rsidR="00002CD7" w:rsidRPr="00751DA1" w:rsidRDefault="00682F1F" w:rsidP="00D36E11">
      <w:pPr>
        <w:spacing w:after="0" w:line="240" w:lineRule="auto"/>
        <w:rPr>
          <w:rFonts w:cs="Arial"/>
          <w:sz w:val="20"/>
          <w:szCs w:val="20"/>
          <w:u w:val="single"/>
        </w:rPr>
      </w:pPr>
      <w:r>
        <w:rPr>
          <w:rFonts w:cs="Arial"/>
          <w:b/>
          <w:sz w:val="20"/>
          <w:szCs w:val="20"/>
          <w:u w:val="single"/>
        </w:rPr>
        <w:t xml:space="preserve">19. </w:t>
      </w:r>
      <w:r w:rsidR="007E38C3" w:rsidRPr="00751DA1">
        <w:rPr>
          <w:rFonts w:cs="Arial"/>
          <w:b/>
          <w:sz w:val="20"/>
          <w:szCs w:val="20"/>
          <w:u w:val="single"/>
        </w:rPr>
        <w:t>Specialists' Perceptions of Clinical Fit for eConsults: A Cross-Sectional Survey of Medical Specialties</w:t>
      </w:r>
    </w:p>
    <w:p w14:paraId="4211706F" w14:textId="77777777" w:rsidR="00372F09" w:rsidRDefault="00372F09" w:rsidP="00D36E11">
      <w:pPr>
        <w:spacing w:after="0" w:line="240" w:lineRule="auto"/>
        <w:rPr>
          <w:rFonts w:cs="Arial"/>
          <w:b/>
          <w:sz w:val="20"/>
          <w:szCs w:val="20"/>
        </w:rPr>
      </w:pPr>
    </w:p>
    <w:p w14:paraId="5F460239" w14:textId="3CBD37C6"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Devin Miller, University of Colorado School of Medicine</w:t>
      </w:r>
    </w:p>
    <w:p w14:paraId="25A8EC63" w14:textId="77777777" w:rsidR="00372F09" w:rsidRDefault="00372F09" w:rsidP="00D36E11">
      <w:pPr>
        <w:spacing w:after="0" w:line="240" w:lineRule="auto"/>
        <w:rPr>
          <w:rFonts w:cs="Arial"/>
          <w:sz w:val="20"/>
          <w:szCs w:val="20"/>
        </w:rPr>
      </w:pPr>
    </w:p>
    <w:p w14:paraId="1BD03A0C" w14:textId="45F1DDC8"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Electronic consultations (</w:t>
      </w:r>
      <w:proofErr w:type="spellStart"/>
      <w:r w:rsidRPr="00F47BE6">
        <w:rPr>
          <w:rFonts w:cs="Arial"/>
          <w:sz w:val="20"/>
          <w:szCs w:val="20"/>
        </w:rPr>
        <w:t>eConsults</w:t>
      </w:r>
      <w:proofErr w:type="spellEnd"/>
      <w:r w:rsidRPr="00F47BE6">
        <w:rPr>
          <w:rFonts w:cs="Arial"/>
          <w:sz w:val="20"/>
          <w:szCs w:val="20"/>
        </w:rPr>
        <w:t>) are asynchronous exchanges between primary care providers and specialists, associated with improved specialty access and reduced wait times. Prior research has focused on primary care perspectives; little is known about how specialists view which clinical conditions are appropriate for eConsult management, or what barriers they face.</w:t>
      </w:r>
      <w:r w:rsidRPr="00F47BE6">
        <w:rPr>
          <w:rFonts w:cs="Arial"/>
          <w:sz w:val="20"/>
          <w:szCs w:val="20"/>
        </w:rPr>
        <w:br/>
      </w:r>
      <w:r w:rsidRPr="00751DA1">
        <w:rPr>
          <w:rFonts w:cs="Arial"/>
          <w:sz w:val="20"/>
          <w:szCs w:val="20"/>
          <w:u w:val="single"/>
        </w:rPr>
        <w:t>Methods:</w:t>
      </w:r>
      <w:r w:rsidRPr="00F47BE6">
        <w:rPr>
          <w:rFonts w:cs="Arial"/>
          <w:sz w:val="20"/>
          <w:szCs w:val="20"/>
        </w:rPr>
        <w:t xml:space="preserve"> We conducted a cross-sectional REDCap survey of adult specialists in the University of Colorado School of Medicine eConsult program. Eligible specialties had 100 or more completed eConsults; eligible specialists had responded to at least 5 eConsults within the prior 24 months, yielding 16 specialties. Condition lists were derived from ICD-10 codes for the most common in-person referral reasons. Specialists identified and ranked conditions manageable via eConsult, rated adequacy of submitted information, reported whether independent chart review was needed, and described barriers in free text. Analyses were descriptive, with word-frequency and sentiment analysis of free text. The study was COMIRB-</w:t>
      </w:r>
      <w:proofErr w:type="gramStart"/>
      <w:r w:rsidRPr="00F47BE6">
        <w:rPr>
          <w:rFonts w:cs="Arial"/>
          <w:sz w:val="20"/>
          <w:szCs w:val="20"/>
        </w:rPr>
        <w:t>exempt (#</w:t>
      </w:r>
      <w:proofErr w:type="gramEnd"/>
      <w:r w:rsidRPr="00F47BE6">
        <w:rPr>
          <w:rFonts w:cs="Arial"/>
          <w:sz w:val="20"/>
          <w:szCs w:val="20"/>
        </w:rPr>
        <w:t>25-0236).</w:t>
      </w:r>
      <w:r w:rsidRPr="00F47BE6">
        <w:rPr>
          <w:rFonts w:cs="Arial"/>
          <w:sz w:val="20"/>
          <w:szCs w:val="20"/>
        </w:rPr>
        <w:br/>
      </w:r>
      <w:r w:rsidRPr="00751DA1">
        <w:rPr>
          <w:rFonts w:cs="Arial"/>
          <w:sz w:val="20"/>
          <w:szCs w:val="20"/>
          <w:u w:val="single"/>
        </w:rPr>
        <w:t>Results:</w:t>
      </w:r>
      <w:r w:rsidRPr="00F47BE6">
        <w:rPr>
          <w:rFonts w:cs="Arial"/>
          <w:sz w:val="20"/>
          <w:szCs w:val="20"/>
        </w:rPr>
        <w:t xml:space="preserve"> Thirty-two of 49 eligible specialists (65.3%) across 16 specialties responded. Twenty-one (65.6%) selected at least one condition appropriate for initial eConsult management; 11 (34.4%) selected "None of the above," including four of five infectious disease specialists. Perceptions varied substantially both across and within specialties: one endocrinologist endorsed all five most common referral reasons, while three respondents reported no conditions suitable even for triage. Others endorsed narrow use cases (e.g., Lyme disease, early-stage chronic kidney disease, lung nodules). Twenty-six (81%) usually searched the chart themselves for a complete history; 19 (60%) rated submitted information somewhat or totally insufficient despite disease-specific templates.</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Specialist views on eConsult appropriateness are highly heterogeneous, and current </w:t>
      </w:r>
      <w:r w:rsidRPr="00F47BE6">
        <w:rPr>
          <w:rFonts w:cs="Arial"/>
          <w:sz w:val="20"/>
          <w:szCs w:val="20"/>
        </w:rPr>
        <w:lastRenderedPageBreak/>
        <w:t>templates often fail to deliver sufficient clinical context. Expanding eConsult programs will require specialty-specific criteria, redesigned templates, clearer referral guidance, and EHR- and AI-enabled data summarization to reduce specialist workflow burden and sustain engagement.</w:t>
      </w:r>
    </w:p>
    <w:p w14:paraId="30434755" w14:textId="77777777" w:rsidR="00372F09" w:rsidRDefault="00372F09" w:rsidP="00D36E11">
      <w:pPr>
        <w:spacing w:after="0" w:line="240" w:lineRule="auto"/>
        <w:rPr>
          <w:rFonts w:cs="Arial"/>
          <w:b/>
          <w:sz w:val="20"/>
          <w:szCs w:val="20"/>
        </w:rPr>
      </w:pPr>
    </w:p>
    <w:p w14:paraId="1E4FA312" w14:textId="03ED008C"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Mayra Loera De Luna</w:t>
      </w:r>
      <w:r w:rsidR="00E97CE0">
        <w:rPr>
          <w:rFonts w:cs="Arial"/>
          <w:sz w:val="20"/>
          <w:szCs w:val="20"/>
        </w:rPr>
        <w:t xml:space="preserve"> (1), </w:t>
      </w:r>
      <w:r w:rsidR="007E38C3" w:rsidRPr="00F47BE6">
        <w:rPr>
          <w:rFonts w:cs="Arial"/>
          <w:sz w:val="20"/>
          <w:szCs w:val="20"/>
        </w:rPr>
        <w:t>Stephanie Grim, MS, MPH</w:t>
      </w:r>
      <w:r w:rsidR="00E97CE0">
        <w:rPr>
          <w:rFonts w:cs="Arial"/>
          <w:sz w:val="20"/>
          <w:szCs w:val="20"/>
        </w:rPr>
        <w:t xml:space="preserve"> (1), </w:t>
      </w:r>
      <w:r w:rsidR="007E38C3" w:rsidRPr="00F47BE6">
        <w:rPr>
          <w:rFonts w:cs="Arial"/>
          <w:sz w:val="20"/>
          <w:szCs w:val="20"/>
        </w:rPr>
        <w:t>Devin Miller, DrPH</w:t>
      </w:r>
      <w:r w:rsidR="00E97CE0">
        <w:rPr>
          <w:rFonts w:cs="Arial"/>
          <w:sz w:val="20"/>
          <w:szCs w:val="20"/>
        </w:rPr>
        <w:t xml:space="preserve"> (1), </w:t>
      </w:r>
      <w:r w:rsidR="007E38C3" w:rsidRPr="00F47BE6">
        <w:rPr>
          <w:rFonts w:cs="Arial"/>
          <w:sz w:val="20"/>
          <w:szCs w:val="20"/>
        </w:rPr>
        <w:t xml:space="preserve">Emma Ansara, MA, MSN </w:t>
      </w:r>
      <w:r w:rsidR="00E97CE0">
        <w:rPr>
          <w:rFonts w:cs="Arial"/>
          <w:sz w:val="20"/>
          <w:szCs w:val="20"/>
        </w:rPr>
        <w:t xml:space="preserve">(1), </w:t>
      </w:r>
      <w:r w:rsidR="007E38C3" w:rsidRPr="00F47BE6">
        <w:rPr>
          <w:rFonts w:cs="Arial"/>
          <w:sz w:val="20"/>
          <w:szCs w:val="20"/>
        </w:rPr>
        <w:t>Rodger Kessler, PhD</w:t>
      </w:r>
      <w:r w:rsidR="00E97CE0">
        <w:rPr>
          <w:rFonts w:cs="Arial"/>
          <w:sz w:val="20"/>
          <w:szCs w:val="20"/>
        </w:rPr>
        <w:t xml:space="preserve"> (2), </w:t>
      </w:r>
      <w:r w:rsidR="007E38C3" w:rsidRPr="00F47BE6">
        <w:rPr>
          <w:rFonts w:cs="Arial"/>
          <w:sz w:val="20"/>
          <w:szCs w:val="20"/>
        </w:rPr>
        <w:t>John F. Thomas, PhD</w:t>
      </w:r>
      <w:r w:rsidR="00E97CE0">
        <w:rPr>
          <w:rFonts w:cs="Arial"/>
          <w:sz w:val="20"/>
          <w:szCs w:val="20"/>
        </w:rPr>
        <w:t xml:space="preserve"> (1), </w:t>
      </w:r>
      <w:r w:rsidR="007E38C3" w:rsidRPr="00F47BE6">
        <w:rPr>
          <w:rFonts w:cs="Arial"/>
          <w:sz w:val="20"/>
          <w:szCs w:val="20"/>
        </w:rPr>
        <w:t>David Saxon, MD</w:t>
      </w:r>
      <w:r w:rsidR="00E97CE0">
        <w:rPr>
          <w:rFonts w:cs="Arial"/>
          <w:sz w:val="20"/>
          <w:szCs w:val="20"/>
        </w:rPr>
        <w:t xml:space="preserve"> (1,3)</w:t>
      </w:r>
    </w:p>
    <w:p w14:paraId="376D3A2C" w14:textId="77777777" w:rsidR="00E97CE0" w:rsidRDefault="00E97CE0" w:rsidP="00D36E11">
      <w:pPr>
        <w:spacing w:after="0" w:line="240" w:lineRule="auto"/>
        <w:rPr>
          <w:rFonts w:cs="Arial"/>
          <w:sz w:val="20"/>
          <w:szCs w:val="20"/>
        </w:rPr>
      </w:pPr>
    </w:p>
    <w:p w14:paraId="3519F0A1" w14:textId="6B3513DA" w:rsidR="00E97CE0" w:rsidRPr="00F47BE6" w:rsidRDefault="00E97CE0" w:rsidP="00D36E11">
      <w:pPr>
        <w:spacing w:after="0" w:line="240" w:lineRule="auto"/>
        <w:rPr>
          <w:rFonts w:cs="Arial"/>
          <w:sz w:val="20"/>
          <w:szCs w:val="20"/>
        </w:rPr>
      </w:pPr>
      <w:r>
        <w:rPr>
          <w:sz w:val="20"/>
          <w:szCs w:val="20"/>
        </w:rPr>
        <w:t>(1)</w:t>
      </w:r>
      <w:r w:rsidRPr="00F47BE6">
        <w:rPr>
          <w:rFonts w:cs="Arial"/>
          <w:sz w:val="20"/>
          <w:szCs w:val="20"/>
        </w:rPr>
        <w:t xml:space="preserve"> The Care Collaborative, University of Colorado Anschutz</w:t>
      </w:r>
      <w:r w:rsidRPr="00F47BE6">
        <w:rPr>
          <w:rFonts w:cs="Arial"/>
          <w:sz w:val="20"/>
          <w:szCs w:val="20"/>
        </w:rPr>
        <w:br/>
      </w:r>
      <w:r>
        <w:rPr>
          <w:sz w:val="20"/>
          <w:szCs w:val="20"/>
        </w:rPr>
        <w:t>(2)</w:t>
      </w:r>
      <w:r w:rsidRPr="00F47BE6">
        <w:rPr>
          <w:rFonts w:cs="Arial"/>
          <w:sz w:val="20"/>
          <w:szCs w:val="20"/>
        </w:rPr>
        <w:t xml:space="preserve"> </w:t>
      </w:r>
      <w:proofErr w:type="spellStart"/>
      <w:r w:rsidRPr="00F47BE6">
        <w:rPr>
          <w:rFonts w:cs="Arial"/>
          <w:sz w:val="20"/>
          <w:szCs w:val="20"/>
        </w:rPr>
        <w:t>DARTNet</w:t>
      </w:r>
      <w:proofErr w:type="spellEnd"/>
      <w:r w:rsidRPr="00F47BE6">
        <w:rPr>
          <w:rFonts w:cs="Arial"/>
          <w:sz w:val="20"/>
          <w:szCs w:val="20"/>
        </w:rPr>
        <w:t xml:space="preserve"> Institute</w:t>
      </w:r>
      <w:r w:rsidRPr="00F47BE6">
        <w:rPr>
          <w:rFonts w:cs="Arial"/>
          <w:sz w:val="20"/>
          <w:szCs w:val="20"/>
        </w:rPr>
        <w:br/>
      </w:r>
      <w:r>
        <w:rPr>
          <w:sz w:val="20"/>
          <w:szCs w:val="20"/>
        </w:rPr>
        <w:t xml:space="preserve">(3) </w:t>
      </w:r>
      <w:r w:rsidRPr="00F47BE6">
        <w:rPr>
          <w:rFonts w:cs="Arial"/>
          <w:sz w:val="20"/>
          <w:szCs w:val="20"/>
        </w:rPr>
        <w:t>Division of Endocrinology, Metabolism, and Diabetes, University of Colorado School of Medicine</w:t>
      </w:r>
    </w:p>
    <w:p w14:paraId="422F8BFB" w14:textId="77777777" w:rsidR="00E97CE0" w:rsidRPr="00F47BE6" w:rsidRDefault="00E97CE0" w:rsidP="00D36E11">
      <w:pPr>
        <w:spacing w:after="0" w:line="240" w:lineRule="auto"/>
        <w:rPr>
          <w:rFonts w:cs="Arial"/>
          <w:sz w:val="20"/>
          <w:szCs w:val="20"/>
        </w:rPr>
      </w:pPr>
    </w:p>
    <w:p w14:paraId="452FCCF8" w14:textId="77777777" w:rsidR="00372F09" w:rsidRPr="00F47BE6" w:rsidRDefault="00372F09" w:rsidP="00D36E11">
      <w:pPr>
        <w:spacing w:after="0" w:line="240" w:lineRule="auto"/>
        <w:rPr>
          <w:rFonts w:cs="Arial"/>
          <w:sz w:val="20"/>
          <w:szCs w:val="20"/>
        </w:rPr>
      </w:pPr>
    </w:p>
    <w:p w14:paraId="4F0B6891" w14:textId="0C8DAFFC" w:rsidR="00002CD7" w:rsidRPr="00751DA1" w:rsidRDefault="00855C15" w:rsidP="00D36E11">
      <w:pPr>
        <w:spacing w:after="0" w:line="240" w:lineRule="auto"/>
        <w:rPr>
          <w:rFonts w:cs="Arial"/>
          <w:sz w:val="20"/>
          <w:szCs w:val="20"/>
          <w:u w:val="single"/>
        </w:rPr>
      </w:pPr>
      <w:r>
        <w:rPr>
          <w:rFonts w:cs="Arial"/>
          <w:b/>
          <w:sz w:val="20"/>
          <w:szCs w:val="20"/>
          <w:u w:val="single"/>
        </w:rPr>
        <w:t xml:space="preserve">20. </w:t>
      </w:r>
      <w:r w:rsidR="007E38C3" w:rsidRPr="00751DA1">
        <w:rPr>
          <w:rFonts w:cs="Arial"/>
          <w:b/>
          <w:sz w:val="20"/>
          <w:szCs w:val="20"/>
          <w:u w:val="single"/>
        </w:rPr>
        <w:t>The Use of ChatGPT to Generate Surgical Plans for Patient-Specific Breast Cancer Scenarios</w:t>
      </w:r>
    </w:p>
    <w:p w14:paraId="2E088D7D" w14:textId="77777777" w:rsidR="007A7813" w:rsidRDefault="007A7813" w:rsidP="00D36E11">
      <w:pPr>
        <w:spacing w:after="0" w:line="240" w:lineRule="auto"/>
        <w:rPr>
          <w:rFonts w:cs="Arial"/>
          <w:b/>
          <w:sz w:val="20"/>
          <w:szCs w:val="20"/>
        </w:rPr>
      </w:pPr>
    </w:p>
    <w:p w14:paraId="03B76B81" w14:textId="001E8608"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George Burnet, University of Colorado School of Medicine</w:t>
      </w:r>
    </w:p>
    <w:p w14:paraId="4DED6844" w14:textId="77777777" w:rsidR="007A7813" w:rsidRDefault="007A7813" w:rsidP="00D36E11">
      <w:pPr>
        <w:spacing w:after="0" w:line="240" w:lineRule="auto"/>
        <w:rPr>
          <w:rFonts w:cs="Arial"/>
          <w:b/>
          <w:bCs/>
          <w:sz w:val="20"/>
          <w:szCs w:val="20"/>
        </w:rPr>
      </w:pPr>
    </w:p>
    <w:p w14:paraId="2EA3EBC3" w14:textId="7240AF17" w:rsidR="00002CD7" w:rsidRPr="00F47BE6" w:rsidRDefault="00751DA1" w:rsidP="00D36E11">
      <w:pPr>
        <w:spacing w:after="0" w:line="240" w:lineRule="auto"/>
        <w:rPr>
          <w:rFonts w:cs="Arial"/>
          <w:sz w:val="20"/>
          <w:szCs w:val="20"/>
        </w:rPr>
      </w:pPr>
      <w:r w:rsidRPr="00803F11">
        <w:rPr>
          <w:rFonts w:cs="Arial"/>
          <w:sz w:val="20"/>
          <w:szCs w:val="20"/>
          <w:u w:val="single"/>
        </w:rPr>
        <w:t>Background:</w:t>
      </w:r>
      <w:r>
        <w:rPr>
          <w:rFonts w:cs="Arial"/>
          <w:sz w:val="20"/>
          <w:szCs w:val="20"/>
        </w:rPr>
        <w:t xml:space="preserve"> </w:t>
      </w:r>
      <w:r w:rsidR="007E38C3" w:rsidRPr="00F47BE6">
        <w:rPr>
          <w:rFonts w:cs="Arial"/>
          <w:sz w:val="20"/>
          <w:szCs w:val="20"/>
        </w:rPr>
        <w:t xml:space="preserve">Generative artificial intelligence (GenAI) models such as Chat GPT are shifting how patients seek medical advice. The accuracy, readability, and references of these models are not well characterized. We used real breast radiology and pathology results characteristic of five distinct clinical scenarios to interrogate ChatGPT’s surgical decision making and to check for improvement in the model over time. </w:t>
      </w:r>
      <w:r w:rsidR="007E38C3" w:rsidRPr="00F47BE6">
        <w:rPr>
          <w:rFonts w:cs="Arial"/>
          <w:sz w:val="20"/>
          <w:szCs w:val="20"/>
        </w:rPr>
        <w:br/>
      </w:r>
      <w:r w:rsidR="007E38C3" w:rsidRPr="00751DA1">
        <w:rPr>
          <w:rFonts w:cs="Arial"/>
          <w:sz w:val="20"/>
          <w:szCs w:val="20"/>
          <w:u w:val="single"/>
        </w:rPr>
        <w:t>Methods</w:t>
      </w:r>
      <w:r w:rsidR="00324E39" w:rsidRPr="00751DA1">
        <w:rPr>
          <w:rFonts w:cs="Arial"/>
          <w:sz w:val="20"/>
          <w:szCs w:val="20"/>
          <w:u w:val="single"/>
        </w:rPr>
        <w:t>:</w:t>
      </w:r>
      <w:r w:rsidR="007E38C3" w:rsidRPr="00F47BE6">
        <w:rPr>
          <w:rFonts w:cs="Arial"/>
          <w:sz w:val="20"/>
          <w:szCs w:val="20"/>
        </w:rPr>
        <w:t xml:space="preserve"> Five breast cancer patients’ radiology and pathology results characterizing their breast diagnoses were deidentified and submitted to ChatGPT 4.0mini with three identical repetitions (n=15) using the following prompt: “I am an (age) year old female patient. Answer as if you are a breast cancer specialist. What surgery do I need for my breast and lymph nodes? Tell me your references and provide links. Here are my test results:”. The same inquiry was repeated in May 2025 (n=15). The AI output was assessed for accuracy and comprehensiveness by two expert reviewers on a four-point Likert scale. Readability was assessed using the Flesh-Kincaid scale. Citations were interrogated for functionality and quality. </w:t>
      </w:r>
      <w:r w:rsidR="007E38C3" w:rsidRPr="00F47BE6">
        <w:rPr>
          <w:rFonts w:cs="Arial"/>
          <w:sz w:val="20"/>
          <w:szCs w:val="20"/>
        </w:rPr>
        <w:br/>
      </w:r>
      <w:r w:rsidR="007E38C3" w:rsidRPr="00751DA1">
        <w:rPr>
          <w:rFonts w:cs="Arial"/>
          <w:sz w:val="20"/>
          <w:szCs w:val="20"/>
          <w:u w:val="single"/>
        </w:rPr>
        <w:t>Results</w:t>
      </w:r>
      <w:r w:rsidR="00324E39" w:rsidRPr="00751DA1">
        <w:rPr>
          <w:rFonts w:cs="Arial"/>
          <w:sz w:val="20"/>
          <w:szCs w:val="20"/>
          <w:u w:val="single"/>
        </w:rPr>
        <w:t>:</w:t>
      </w:r>
      <w:r w:rsidR="007E38C3" w:rsidRPr="00F47BE6">
        <w:rPr>
          <w:rFonts w:cs="Arial"/>
          <w:sz w:val="20"/>
          <w:szCs w:val="20"/>
        </w:rPr>
        <w:t xml:space="preserve"> The mean accuracy score was 3.6 across all responses from May 2025, improved from 3.2 in October 2024. Mean Flesch-Kincaid readability score in 2025 was 11.0, improved from 12.4 in 2024 but still greatly exceeding the recommended readability level of 6.0 for patient-facing materials. During initial testing in 2024, only 26% of links reached functional websites and no references reached diagnosis-specific webpages. During repeat testing in 2025, 75% of references included functional weblinks. </w:t>
      </w:r>
      <w:r w:rsidR="007E38C3" w:rsidRPr="00F47BE6">
        <w:rPr>
          <w:rFonts w:cs="Arial"/>
          <w:sz w:val="20"/>
          <w:szCs w:val="20"/>
        </w:rPr>
        <w:br/>
      </w:r>
      <w:r w:rsidR="007E38C3" w:rsidRPr="00751DA1">
        <w:rPr>
          <w:rFonts w:cs="Arial"/>
          <w:sz w:val="20"/>
          <w:szCs w:val="20"/>
          <w:u w:val="single"/>
        </w:rPr>
        <w:t>Conclusions</w:t>
      </w:r>
      <w:r w:rsidR="00324E39" w:rsidRPr="00751DA1">
        <w:rPr>
          <w:rFonts w:cs="Arial"/>
          <w:sz w:val="20"/>
          <w:szCs w:val="20"/>
          <w:u w:val="single"/>
        </w:rPr>
        <w:t>:</w:t>
      </w:r>
      <w:r w:rsidR="007E38C3" w:rsidRPr="00F47BE6">
        <w:rPr>
          <w:rFonts w:cs="Arial"/>
          <w:sz w:val="20"/>
          <w:szCs w:val="20"/>
        </w:rPr>
        <w:t xml:space="preserve"> GenAI responses to individual breast cancer clinical scenarios have improved in accuracy, readability, and reference citing from October 2024 to May 2025. However, some responses still contain notable inaccuracies. References vary in quality and functionality. Patients should not rely on GenAI as a source of medical information or advice for breast cancer.</w:t>
      </w:r>
    </w:p>
    <w:p w14:paraId="694AE5C3" w14:textId="77777777" w:rsidR="007A7813" w:rsidRDefault="007A7813" w:rsidP="00D36E11">
      <w:pPr>
        <w:spacing w:after="0" w:line="240" w:lineRule="auto"/>
        <w:rPr>
          <w:rFonts w:cs="Arial"/>
          <w:b/>
          <w:sz w:val="20"/>
          <w:szCs w:val="20"/>
        </w:rPr>
      </w:pPr>
    </w:p>
    <w:p w14:paraId="67E606AD" w14:textId="27C5C608" w:rsidR="00A66D14" w:rsidRDefault="00B02674" w:rsidP="00D36E11">
      <w:pPr>
        <w:spacing w:after="0" w:line="240" w:lineRule="auto"/>
        <w:rPr>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George Burnet</w:t>
      </w:r>
      <w:r w:rsidR="00C55C9E">
        <w:rPr>
          <w:rFonts w:cs="Arial"/>
          <w:sz w:val="20"/>
          <w:szCs w:val="20"/>
        </w:rPr>
        <w:t xml:space="preserve"> (1)</w:t>
      </w:r>
      <w:r w:rsidR="007E38C3" w:rsidRPr="00F47BE6">
        <w:rPr>
          <w:rFonts w:cs="Arial"/>
          <w:sz w:val="20"/>
          <w:szCs w:val="20"/>
        </w:rPr>
        <w:t>, Sarah Leslie</w:t>
      </w:r>
      <w:r w:rsidR="00C55C9E">
        <w:rPr>
          <w:rFonts w:cs="Arial"/>
          <w:sz w:val="20"/>
          <w:szCs w:val="20"/>
        </w:rPr>
        <w:t xml:space="preserve"> (2)</w:t>
      </w:r>
      <w:r w:rsidR="007E38C3" w:rsidRPr="00F47BE6">
        <w:rPr>
          <w:rFonts w:cs="Arial"/>
          <w:sz w:val="20"/>
          <w:szCs w:val="20"/>
        </w:rPr>
        <w:t>, Nicole Christian</w:t>
      </w:r>
      <w:r w:rsidR="00C55C9E">
        <w:rPr>
          <w:rFonts w:cs="Arial"/>
          <w:sz w:val="20"/>
          <w:szCs w:val="20"/>
        </w:rPr>
        <w:t xml:space="preserve"> (1)</w:t>
      </w:r>
      <w:r w:rsidR="007E38C3" w:rsidRPr="00F47BE6">
        <w:rPr>
          <w:rFonts w:cs="Arial"/>
          <w:sz w:val="20"/>
          <w:szCs w:val="20"/>
        </w:rPr>
        <w:t>, Sarah Tevis</w:t>
      </w:r>
      <w:r w:rsidR="00C55C9E">
        <w:rPr>
          <w:rFonts w:cs="Arial"/>
          <w:sz w:val="20"/>
          <w:szCs w:val="20"/>
        </w:rPr>
        <w:t xml:space="preserve"> (1)</w:t>
      </w:r>
      <w:r w:rsidR="007E38C3" w:rsidRPr="00F47BE6">
        <w:rPr>
          <w:rFonts w:cs="Arial"/>
          <w:sz w:val="20"/>
          <w:szCs w:val="20"/>
        </w:rPr>
        <w:br/>
      </w:r>
      <w:r w:rsidR="007E38C3" w:rsidRPr="00F47BE6">
        <w:rPr>
          <w:rFonts w:cs="Arial"/>
          <w:sz w:val="20"/>
          <w:szCs w:val="20"/>
        </w:rPr>
        <w:br/>
      </w:r>
      <w:r w:rsidR="00A66D14">
        <w:rPr>
          <w:sz w:val="20"/>
          <w:szCs w:val="20"/>
        </w:rPr>
        <w:t xml:space="preserve">(1) </w:t>
      </w:r>
      <w:r w:rsidR="00A66D14" w:rsidRPr="00F47BE6">
        <w:rPr>
          <w:rFonts w:cs="Arial"/>
          <w:sz w:val="20"/>
          <w:szCs w:val="20"/>
        </w:rPr>
        <w:t>Department of Surgery, University of Colorado Anschutz Medical Campus</w:t>
      </w:r>
    </w:p>
    <w:p w14:paraId="7E9B1A5F" w14:textId="77777777" w:rsidR="00A66D14" w:rsidRDefault="00A66D14" w:rsidP="00D36E11">
      <w:pPr>
        <w:spacing w:after="0" w:line="240" w:lineRule="auto"/>
      </w:pPr>
      <w:r>
        <w:rPr>
          <w:sz w:val="20"/>
          <w:szCs w:val="20"/>
        </w:rPr>
        <w:t xml:space="preserve">(2) </w:t>
      </w:r>
      <w:r w:rsidRPr="006B13AC">
        <w:rPr>
          <w:sz w:val="20"/>
          <w:szCs w:val="20"/>
        </w:rPr>
        <w:t>Adult and Child Center for Outcomes Research and Delivery Science</w:t>
      </w:r>
      <w:r w:rsidRPr="00F47BE6">
        <w:rPr>
          <w:sz w:val="20"/>
          <w:szCs w:val="20"/>
        </w:rPr>
        <w:t xml:space="preserve"> </w:t>
      </w:r>
      <w:r>
        <w:rPr>
          <w:sz w:val="20"/>
          <w:szCs w:val="20"/>
        </w:rPr>
        <w:t>(</w:t>
      </w:r>
      <w:r w:rsidRPr="00F47BE6">
        <w:rPr>
          <w:rFonts w:cs="Arial"/>
          <w:sz w:val="20"/>
          <w:szCs w:val="20"/>
        </w:rPr>
        <w:t>ACCORDS</w:t>
      </w:r>
      <w:r>
        <w:rPr>
          <w:sz w:val="20"/>
          <w:szCs w:val="20"/>
        </w:rPr>
        <w:t>)</w:t>
      </w:r>
      <w:r w:rsidRPr="00F47BE6">
        <w:rPr>
          <w:rFonts w:cs="Arial"/>
          <w:sz w:val="20"/>
          <w:szCs w:val="20"/>
        </w:rPr>
        <w:t>, University of Colorado Anschutz</w:t>
      </w:r>
    </w:p>
    <w:p w14:paraId="61985EA5" w14:textId="1F4FB490" w:rsidR="00002CD7" w:rsidRDefault="00002CD7" w:rsidP="00D36E11">
      <w:pPr>
        <w:spacing w:after="0" w:line="240" w:lineRule="auto"/>
        <w:rPr>
          <w:rFonts w:cs="Arial"/>
          <w:sz w:val="20"/>
          <w:szCs w:val="20"/>
        </w:rPr>
      </w:pPr>
    </w:p>
    <w:p w14:paraId="0F4F9E75" w14:textId="77777777" w:rsidR="007A7813" w:rsidRPr="00751DA1" w:rsidRDefault="007A7813" w:rsidP="00D36E11">
      <w:pPr>
        <w:spacing w:after="0" w:line="240" w:lineRule="auto"/>
        <w:rPr>
          <w:rFonts w:cs="Arial"/>
          <w:sz w:val="20"/>
          <w:szCs w:val="20"/>
          <w:u w:val="single"/>
        </w:rPr>
      </w:pPr>
    </w:p>
    <w:p w14:paraId="697574C9" w14:textId="1BCDAEDC" w:rsidR="00002CD7" w:rsidRPr="00751DA1" w:rsidRDefault="00C35CBB" w:rsidP="00D36E11">
      <w:pPr>
        <w:spacing w:after="0" w:line="240" w:lineRule="auto"/>
        <w:rPr>
          <w:rFonts w:cs="Arial"/>
          <w:sz w:val="20"/>
          <w:szCs w:val="20"/>
          <w:u w:val="single"/>
        </w:rPr>
      </w:pPr>
      <w:r>
        <w:rPr>
          <w:rFonts w:cs="Arial"/>
          <w:b/>
          <w:sz w:val="20"/>
          <w:szCs w:val="20"/>
          <w:u w:val="single"/>
        </w:rPr>
        <w:t xml:space="preserve">13. </w:t>
      </w:r>
      <w:r w:rsidR="007E38C3" w:rsidRPr="00751DA1">
        <w:rPr>
          <w:rFonts w:cs="Arial"/>
          <w:b/>
          <w:sz w:val="20"/>
          <w:szCs w:val="20"/>
          <w:u w:val="single"/>
        </w:rPr>
        <w:t>The Role of Medicare Plan Type in the Treatment of Advanced Cancer: Evidence from National Electronic Health Records</w:t>
      </w:r>
    </w:p>
    <w:p w14:paraId="01BA55DB" w14:textId="77777777" w:rsidR="006104A9" w:rsidRDefault="006104A9" w:rsidP="00D36E11">
      <w:pPr>
        <w:spacing w:after="0" w:line="240" w:lineRule="auto"/>
        <w:rPr>
          <w:rFonts w:cs="Arial"/>
          <w:b/>
          <w:sz w:val="20"/>
          <w:szCs w:val="20"/>
        </w:rPr>
      </w:pPr>
    </w:p>
    <w:p w14:paraId="5A0E362F" w14:textId="16241806" w:rsidR="00002CD7" w:rsidRPr="00F47BE6" w:rsidRDefault="007E38C3" w:rsidP="00D36E11">
      <w:pPr>
        <w:spacing w:after="0" w:line="240" w:lineRule="auto"/>
        <w:rPr>
          <w:rFonts w:cs="Arial"/>
          <w:sz w:val="20"/>
          <w:szCs w:val="20"/>
        </w:rPr>
      </w:pPr>
      <w:proofErr w:type="gramStart"/>
      <w:r w:rsidRPr="00F47BE6">
        <w:rPr>
          <w:rFonts w:cs="Arial"/>
          <w:b/>
          <w:sz w:val="20"/>
          <w:szCs w:val="20"/>
        </w:rPr>
        <w:t>Presenting Author</w:t>
      </w:r>
      <w:proofErr w:type="gramEnd"/>
      <w:r w:rsidRPr="00F47BE6">
        <w:rPr>
          <w:rFonts w:cs="Arial"/>
          <w:b/>
          <w:sz w:val="20"/>
          <w:szCs w:val="20"/>
        </w:rPr>
        <w:t xml:space="preserve">: </w:t>
      </w:r>
      <w:r w:rsidRPr="00F47BE6">
        <w:rPr>
          <w:rFonts w:cs="Arial"/>
          <w:sz w:val="20"/>
          <w:szCs w:val="20"/>
        </w:rPr>
        <w:t>Rifei Liang, University of Colorado School of Medicine</w:t>
      </w:r>
    </w:p>
    <w:p w14:paraId="1326DBAA" w14:textId="77777777" w:rsidR="006104A9" w:rsidRDefault="006104A9" w:rsidP="00D36E11">
      <w:pPr>
        <w:spacing w:after="0" w:line="240" w:lineRule="auto"/>
        <w:rPr>
          <w:rFonts w:cs="Arial"/>
          <w:b/>
          <w:bCs/>
          <w:sz w:val="20"/>
          <w:szCs w:val="20"/>
        </w:rPr>
      </w:pPr>
    </w:p>
    <w:p w14:paraId="6E4189E1" w14:textId="647C6475"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B47DB5" w:rsidRPr="00751DA1">
        <w:rPr>
          <w:rFonts w:cs="Arial"/>
          <w:sz w:val="20"/>
          <w:szCs w:val="20"/>
          <w:u w:val="single"/>
        </w:rPr>
        <w:t>:</w:t>
      </w:r>
      <w:r w:rsidRPr="00F47BE6">
        <w:rPr>
          <w:rFonts w:cs="Arial"/>
          <w:sz w:val="20"/>
          <w:szCs w:val="20"/>
        </w:rPr>
        <w:t xml:space="preserve"> Medicare Advantage (MA) enrolls more than half of Medicare beneficiaries, yet evidence remains limited on whether its capitated payment structure and managed-care features influence treatment and outcomes for patients with high-cost, high-need conditions. This question is particularly important in advanced cancer, where treatment decisions are clinically complex and financially consequential. We examined differences between MA and Traditional Medicare (TM) in treatment patterns, treatment costs, and survival among patients with metastatic colorectal cancer (mCRC) and advanced non-small cell lung cancer (advNSCLC).</w:t>
      </w:r>
      <w:r w:rsidRPr="00F47BE6">
        <w:rPr>
          <w:rFonts w:cs="Arial"/>
          <w:sz w:val="20"/>
          <w:szCs w:val="20"/>
        </w:rPr>
        <w:br/>
      </w:r>
      <w:r w:rsidRPr="00751DA1">
        <w:rPr>
          <w:rFonts w:cs="Arial"/>
          <w:sz w:val="20"/>
          <w:szCs w:val="20"/>
          <w:u w:val="single"/>
        </w:rPr>
        <w:t>Methods</w:t>
      </w:r>
      <w:r w:rsidR="00B47DB5" w:rsidRPr="00751DA1">
        <w:rPr>
          <w:rFonts w:cs="Arial"/>
          <w:sz w:val="20"/>
          <w:szCs w:val="20"/>
          <w:u w:val="single"/>
        </w:rPr>
        <w:t>:</w:t>
      </w:r>
      <w:r w:rsidRPr="00F47BE6">
        <w:rPr>
          <w:rFonts w:cs="Arial"/>
          <w:sz w:val="20"/>
          <w:szCs w:val="20"/>
        </w:rPr>
        <w:t xml:space="preserve"> Using Flatiron Health electronic health record data, we identified patients aged ≥65 years diagnosed with mCRC (2013–2023) or advNSCLC (2011–2023) and enrolled in MA or TM at diagnosis. The index date was the date of metastatic/advanced diagnosis. We excluded patients treated at practices with &lt;10 eligible patients or serving only one Medicare plan type to support within-practice comparisons. Dually eligible Medicare-Medicaid beneficiaries were excluded from the primary analysis and included in sensitivity analyses. Outcomes included </w:t>
      </w:r>
      <w:r w:rsidRPr="00F47BE6">
        <w:rPr>
          <w:rFonts w:cs="Arial"/>
          <w:sz w:val="20"/>
          <w:szCs w:val="20"/>
        </w:rPr>
        <w:lastRenderedPageBreak/>
        <w:t>treatment initiation, first-line treatment selection and costs, and survival.</w:t>
      </w:r>
      <w:r w:rsidRPr="00F47BE6">
        <w:rPr>
          <w:rFonts w:cs="Arial"/>
          <w:sz w:val="20"/>
          <w:szCs w:val="20"/>
        </w:rPr>
        <w:br/>
      </w:r>
      <w:r w:rsidRPr="00751DA1">
        <w:rPr>
          <w:rFonts w:cs="Arial"/>
          <w:sz w:val="20"/>
          <w:szCs w:val="20"/>
          <w:u w:val="single"/>
        </w:rPr>
        <w:t>Results</w:t>
      </w:r>
      <w:r w:rsidR="00B47DB5" w:rsidRPr="00751DA1">
        <w:rPr>
          <w:rFonts w:cs="Arial"/>
          <w:sz w:val="20"/>
          <w:szCs w:val="20"/>
          <w:u w:val="single"/>
        </w:rPr>
        <w:t>:</w:t>
      </w:r>
      <w:r w:rsidRPr="00F47BE6">
        <w:rPr>
          <w:rFonts w:cs="Arial"/>
          <w:sz w:val="20"/>
          <w:szCs w:val="20"/>
        </w:rPr>
        <w:t xml:space="preserve"> The cohort included 58,672 patients (13,237 mCRC; 45,435 advNSCLC); 72.3% were enrolled in TM and 27.7% in MA. MA enrollment increased substantially over time, reaching 41.1% among mCRC and 43.0% among advNSCLC patients in 2023. Most patients received care in community practices. Clinical characteristics were generally similar by plan type; however, MA beneficiaries were more likely to reside in lower-SES areas and to be non-White. Analyses comparing treatment patterns, costs, and survival between MA and TM are ongoing.</w:t>
      </w:r>
      <w:r w:rsidRPr="00F47BE6">
        <w:rPr>
          <w:rFonts w:cs="Arial"/>
          <w:sz w:val="20"/>
          <w:szCs w:val="20"/>
        </w:rPr>
        <w:br/>
      </w:r>
      <w:r w:rsidRPr="00751DA1">
        <w:rPr>
          <w:rFonts w:cs="Arial"/>
          <w:sz w:val="20"/>
          <w:szCs w:val="20"/>
          <w:u w:val="single"/>
        </w:rPr>
        <w:t>Conclusions</w:t>
      </w:r>
      <w:r w:rsidR="00B47DB5" w:rsidRPr="00751DA1">
        <w:rPr>
          <w:rFonts w:cs="Arial"/>
          <w:sz w:val="20"/>
          <w:szCs w:val="20"/>
          <w:u w:val="single"/>
        </w:rPr>
        <w:t>:</w:t>
      </w:r>
      <w:r w:rsidRPr="00F47BE6">
        <w:rPr>
          <w:rFonts w:cs="Arial"/>
          <w:sz w:val="20"/>
          <w:szCs w:val="20"/>
        </w:rPr>
        <w:t xml:space="preserve"> This study leverages nationwide oncology EHR data and within-practice comparisons to evaluate how Medicare plan type relates to cancer care delivery and outcomes. Findings may inform policies regarding Medicare payment design, provider networks, and access to high-value cancer care.</w:t>
      </w:r>
    </w:p>
    <w:p w14:paraId="3FED25D1" w14:textId="77777777" w:rsidR="006104A9" w:rsidRDefault="006104A9" w:rsidP="00D36E11">
      <w:pPr>
        <w:spacing w:after="0" w:line="240" w:lineRule="auto"/>
        <w:rPr>
          <w:rFonts w:cs="Arial"/>
          <w:b/>
          <w:sz w:val="20"/>
          <w:szCs w:val="20"/>
        </w:rPr>
      </w:pPr>
    </w:p>
    <w:p w14:paraId="635370A7" w14:textId="54C5B63D"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Rifei Liang and Marcelo Perraillon</w:t>
      </w:r>
    </w:p>
    <w:p w14:paraId="13159083" w14:textId="77777777" w:rsidR="00002CD7" w:rsidRDefault="00002CD7" w:rsidP="00D36E11">
      <w:pPr>
        <w:spacing w:after="0" w:line="240" w:lineRule="auto"/>
        <w:rPr>
          <w:rFonts w:cs="Arial"/>
          <w:sz w:val="20"/>
          <w:szCs w:val="20"/>
        </w:rPr>
      </w:pPr>
    </w:p>
    <w:p w14:paraId="66B3B88C" w14:textId="77777777" w:rsidR="006104A9" w:rsidRPr="00F47BE6" w:rsidRDefault="006104A9" w:rsidP="00D36E11">
      <w:pPr>
        <w:spacing w:after="0" w:line="240" w:lineRule="auto"/>
        <w:rPr>
          <w:rFonts w:cs="Arial"/>
          <w:sz w:val="20"/>
          <w:szCs w:val="20"/>
        </w:rPr>
      </w:pPr>
    </w:p>
    <w:p w14:paraId="740BC2DF" w14:textId="40FE6B78" w:rsidR="00002CD7" w:rsidRPr="00751DA1" w:rsidRDefault="00C37C3F" w:rsidP="00D36E11">
      <w:pPr>
        <w:spacing w:after="0" w:line="240" w:lineRule="auto"/>
        <w:rPr>
          <w:rFonts w:cs="Arial"/>
          <w:sz w:val="20"/>
          <w:szCs w:val="20"/>
          <w:u w:val="single"/>
        </w:rPr>
      </w:pPr>
      <w:r>
        <w:rPr>
          <w:rFonts w:cs="Arial"/>
          <w:b/>
          <w:sz w:val="20"/>
          <w:szCs w:val="20"/>
          <w:u w:val="single"/>
        </w:rPr>
        <w:t xml:space="preserve">17. </w:t>
      </w:r>
      <w:r w:rsidR="007E38C3" w:rsidRPr="00751DA1">
        <w:rPr>
          <w:rFonts w:cs="Arial"/>
          <w:b/>
          <w:sz w:val="20"/>
          <w:szCs w:val="20"/>
          <w:u w:val="single"/>
        </w:rPr>
        <w:t>Physical Activity in Palliative and Supportive Cancer Care: A Website Audit of NCI-Designated Comprehensive Cancer Centers</w:t>
      </w:r>
    </w:p>
    <w:p w14:paraId="4BB8F3AB" w14:textId="77777777" w:rsidR="007A7813" w:rsidRDefault="007A7813" w:rsidP="00D36E11">
      <w:pPr>
        <w:spacing w:after="0" w:line="240" w:lineRule="auto"/>
        <w:rPr>
          <w:rFonts w:cs="Arial"/>
          <w:b/>
          <w:sz w:val="20"/>
          <w:szCs w:val="20"/>
        </w:rPr>
      </w:pPr>
    </w:p>
    <w:p w14:paraId="023FD0FD" w14:textId="5411D8D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Jordan Curry, Colorado State University</w:t>
      </w:r>
    </w:p>
    <w:p w14:paraId="6AE5A5A0" w14:textId="77777777" w:rsidR="007A7813" w:rsidRDefault="007A7813" w:rsidP="00D36E11">
      <w:pPr>
        <w:spacing w:after="0" w:line="240" w:lineRule="auto"/>
        <w:rPr>
          <w:rFonts w:cs="Arial"/>
          <w:b/>
          <w:bCs/>
          <w:sz w:val="20"/>
          <w:szCs w:val="20"/>
        </w:rPr>
      </w:pPr>
    </w:p>
    <w:p w14:paraId="654123A5" w14:textId="534721B9"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Physical activity (PA) is recognized as beneficial for individuals with advanced cancer. Research</w:t>
      </w:r>
      <w:r w:rsidR="007A7813">
        <w:rPr>
          <w:rFonts w:cs="Arial"/>
          <w:sz w:val="20"/>
          <w:szCs w:val="20"/>
        </w:rPr>
        <w:t xml:space="preserve"> </w:t>
      </w:r>
      <w:r w:rsidRPr="00F47BE6">
        <w:rPr>
          <w:rFonts w:cs="Arial"/>
          <w:sz w:val="20"/>
          <w:szCs w:val="20"/>
        </w:rPr>
        <w:t>has demonstrated that PA improves physical function and psychosocial well-being while reducing symptom burden (e.g., fatigue, pain), which aligns with the mission of palliative care. However, integration of PA into palliative oncology services remains inconsistent. This reflects a gap in research-to-practice, as well as in how cancer care systems organize and communicate services to patients. Purpose: To characterize how NCI-Designated Comprehensive Cancer Centers publicly describe integration of PA within oncology palliative and supportive care services.</w:t>
      </w:r>
      <w:r w:rsidRPr="00F47BE6">
        <w:rPr>
          <w:rFonts w:cs="Arial"/>
          <w:sz w:val="20"/>
          <w:szCs w:val="20"/>
        </w:rPr>
        <w:br/>
      </w:r>
      <w:r w:rsidRPr="00751DA1">
        <w:rPr>
          <w:rFonts w:cs="Arial"/>
          <w:sz w:val="20"/>
          <w:szCs w:val="20"/>
          <w:u w:val="single"/>
        </w:rPr>
        <w:t>Methods:</w:t>
      </w:r>
      <w:r w:rsidRPr="00F47BE6">
        <w:rPr>
          <w:rFonts w:cs="Arial"/>
          <w:sz w:val="20"/>
          <w:szCs w:val="20"/>
        </w:rPr>
        <w:t xml:space="preserve"> Websites of all NCI-Designated Comprehensive Cancer Centers were searched in March 2026. Two independent reviewers screened webpages for publicly available information on “PA” or “exercise” offered as part of palliative or supportive care. Information extraction was guided by the RE-AIM framework.</w:t>
      </w:r>
      <w:r w:rsidRPr="00F47BE6">
        <w:rPr>
          <w:rFonts w:cs="Arial"/>
          <w:sz w:val="20"/>
          <w:szCs w:val="20"/>
        </w:rPr>
        <w:br/>
      </w:r>
      <w:r w:rsidRPr="00751DA1">
        <w:rPr>
          <w:rFonts w:cs="Arial"/>
          <w:sz w:val="20"/>
          <w:szCs w:val="20"/>
          <w:u w:val="single"/>
        </w:rPr>
        <w:t>Results</w:t>
      </w:r>
      <w:r w:rsidRPr="00A83530">
        <w:rPr>
          <w:rFonts w:cs="Arial"/>
          <w:b/>
          <w:bCs/>
          <w:sz w:val="20"/>
          <w:szCs w:val="20"/>
        </w:rPr>
        <w:t>:</w:t>
      </w:r>
      <w:r w:rsidRPr="00F47BE6">
        <w:rPr>
          <w:rFonts w:cs="Arial"/>
          <w:sz w:val="20"/>
          <w:szCs w:val="20"/>
        </w:rPr>
        <w:t xml:space="preserve"> Websites of 58 centers yielded 108 relevant webpages (e.g., subpages nested below a </w:t>
      </w:r>
      <w:proofErr w:type="gramStart"/>
      <w:r w:rsidRPr="00F47BE6">
        <w:rPr>
          <w:rFonts w:cs="Arial"/>
          <w:sz w:val="20"/>
          <w:szCs w:val="20"/>
        </w:rPr>
        <w:t>centers</w:t>
      </w:r>
      <w:proofErr w:type="gramEnd"/>
      <w:r w:rsidRPr="00F47BE6">
        <w:rPr>
          <w:rFonts w:cs="Arial"/>
          <w:sz w:val="20"/>
          <w:szCs w:val="20"/>
        </w:rPr>
        <w:t xml:space="preserve"> homepage); 4 centers (7%) had no relevant content. Reach: 25% (n=27) described the intended population (e.g., advanced disease, eligible for palliative care); 10% (n=11) stated eligibility criteria for the PA or exercise service (e.g., cancer type/stage, age). Effectiveness: expected benefits of PA (e.g., reduced fatigue, improved well-being) were described by 22% (n=24). Adoption: 11% (n=12) described PA as an integrated component of their palliative or supportive care service line. Implementation: 70% (n=76) described referral pathways, most often self-referral (n=39) or clinician-referral (n=33); safety information was provided on 3% (n=3). Maintenance: 88% (n=95) appeared currently active, but only 3% (n=3) indicated how long the service had been operating.</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Centers most often described how to access a service, but rarely who it is for, what to expect, or safety considerations. Websites are </w:t>
      </w:r>
      <w:proofErr w:type="gramStart"/>
      <w:r w:rsidRPr="00F47BE6">
        <w:rPr>
          <w:rFonts w:cs="Arial"/>
          <w:sz w:val="20"/>
          <w:szCs w:val="20"/>
        </w:rPr>
        <w:t>often a patient's</w:t>
      </w:r>
      <w:proofErr w:type="gramEnd"/>
      <w:r w:rsidRPr="00F47BE6">
        <w:rPr>
          <w:rFonts w:cs="Arial"/>
          <w:sz w:val="20"/>
          <w:szCs w:val="20"/>
        </w:rPr>
        <w:t xml:space="preserve"> first entry </w:t>
      </w:r>
      <w:proofErr w:type="gramStart"/>
      <w:r w:rsidRPr="00F47BE6">
        <w:rPr>
          <w:rFonts w:cs="Arial"/>
          <w:sz w:val="20"/>
          <w:szCs w:val="20"/>
        </w:rPr>
        <w:t>point</w:t>
      </w:r>
      <w:proofErr w:type="gramEnd"/>
      <w:r w:rsidRPr="00F47BE6">
        <w:rPr>
          <w:rFonts w:cs="Arial"/>
          <w:sz w:val="20"/>
          <w:szCs w:val="20"/>
        </w:rPr>
        <w:t xml:space="preserve"> when seeking supportive care, so these omissions represent a modifiable, systems-level barrier to accessing PA.</w:t>
      </w:r>
    </w:p>
    <w:p w14:paraId="0396A2F6" w14:textId="77777777" w:rsidR="007A7813" w:rsidRDefault="007A7813" w:rsidP="00D36E11">
      <w:pPr>
        <w:spacing w:after="0" w:line="240" w:lineRule="auto"/>
        <w:rPr>
          <w:rFonts w:cs="Arial"/>
          <w:b/>
          <w:sz w:val="20"/>
          <w:szCs w:val="20"/>
        </w:rPr>
      </w:pPr>
    </w:p>
    <w:p w14:paraId="0F015174" w14:textId="070FC8CA"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Jordan Curry (1), Taylor Dowd (1), Heather J Leach (1)</w:t>
      </w:r>
      <w:r w:rsidR="007E38C3" w:rsidRPr="00F47BE6">
        <w:rPr>
          <w:rFonts w:cs="Arial"/>
          <w:sz w:val="20"/>
          <w:szCs w:val="20"/>
        </w:rPr>
        <w:br/>
      </w:r>
      <w:r w:rsidR="007E38C3" w:rsidRPr="00F47BE6">
        <w:rPr>
          <w:rFonts w:cs="Arial"/>
          <w:sz w:val="20"/>
          <w:szCs w:val="20"/>
        </w:rPr>
        <w:br/>
      </w:r>
      <w:r w:rsidR="00A83530">
        <w:rPr>
          <w:rFonts w:cs="Arial"/>
          <w:sz w:val="20"/>
          <w:szCs w:val="20"/>
        </w:rPr>
        <w:t>(</w:t>
      </w:r>
      <w:r w:rsidR="007E38C3" w:rsidRPr="00F47BE6">
        <w:rPr>
          <w:rFonts w:cs="Arial"/>
          <w:sz w:val="20"/>
          <w:szCs w:val="20"/>
        </w:rPr>
        <w:t>1</w:t>
      </w:r>
      <w:r w:rsidR="00A83530">
        <w:rPr>
          <w:rFonts w:cs="Arial"/>
          <w:sz w:val="20"/>
          <w:szCs w:val="20"/>
        </w:rPr>
        <w:t>)</w:t>
      </w:r>
      <w:r w:rsidR="007E38C3" w:rsidRPr="00F47BE6">
        <w:rPr>
          <w:rFonts w:cs="Arial"/>
          <w:sz w:val="20"/>
          <w:szCs w:val="20"/>
        </w:rPr>
        <w:t xml:space="preserve"> Department of Health and Exercise Science, Colorado State University</w:t>
      </w:r>
    </w:p>
    <w:p w14:paraId="409E97D2" w14:textId="77777777" w:rsidR="00002CD7" w:rsidRDefault="00002CD7" w:rsidP="00D36E11">
      <w:pPr>
        <w:spacing w:after="0" w:line="240" w:lineRule="auto"/>
        <w:rPr>
          <w:rFonts w:cs="Arial"/>
          <w:sz w:val="20"/>
          <w:szCs w:val="20"/>
        </w:rPr>
      </w:pPr>
    </w:p>
    <w:p w14:paraId="3BB2DA8C" w14:textId="77777777" w:rsidR="007A7813" w:rsidRPr="00F47BE6" w:rsidRDefault="007A7813" w:rsidP="00D36E11">
      <w:pPr>
        <w:spacing w:after="0" w:line="240" w:lineRule="auto"/>
        <w:rPr>
          <w:rFonts w:cs="Arial"/>
          <w:sz w:val="20"/>
          <w:szCs w:val="20"/>
        </w:rPr>
      </w:pPr>
    </w:p>
    <w:p w14:paraId="0A39E1DB" w14:textId="49CA900E" w:rsidR="00002CD7" w:rsidRPr="00751DA1" w:rsidRDefault="00E069EE" w:rsidP="00D36E11">
      <w:pPr>
        <w:spacing w:after="0" w:line="240" w:lineRule="auto"/>
        <w:rPr>
          <w:rFonts w:cs="Arial"/>
          <w:sz w:val="20"/>
          <w:szCs w:val="20"/>
          <w:u w:val="single"/>
        </w:rPr>
      </w:pPr>
      <w:r>
        <w:rPr>
          <w:rFonts w:cs="Arial"/>
          <w:b/>
          <w:sz w:val="20"/>
          <w:szCs w:val="20"/>
          <w:u w:val="single"/>
        </w:rPr>
        <w:t xml:space="preserve">18. </w:t>
      </w:r>
      <w:r w:rsidR="007E38C3" w:rsidRPr="00751DA1">
        <w:rPr>
          <w:rFonts w:cs="Arial"/>
          <w:b/>
          <w:sz w:val="20"/>
          <w:szCs w:val="20"/>
          <w:u w:val="single"/>
        </w:rPr>
        <w:t>Role of Integrated Health Care for People Living with Brain Cancer</w:t>
      </w:r>
    </w:p>
    <w:p w14:paraId="06B7425D" w14:textId="77777777" w:rsidR="007A7813" w:rsidRDefault="007A7813" w:rsidP="00D36E11">
      <w:pPr>
        <w:spacing w:after="0" w:line="240" w:lineRule="auto"/>
        <w:rPr>
          <w:rFonts w:cs="Arial"/>
          <w:b/>
          <w:sz w:val="20"/>
          <w:szCs w:val="20"/>
        </w:rPr>
      </w:pPr>
    </w:p>
    <w:p w14:paraId="699A566A" w14:textId="74D411AE"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Juliana Barnard, University of Colorado School of Medicine</w:t>
      </w:r>
    </w:p>
    <w:p w14:paraId="3A840321" w14:textId="77777777" w:rsidR="007A7813" w:rsidRDefault="007A7813" w:rsidP="00D36E11">
      <w:pPr>
        <w:spacing w:after="0" w:line="240" w:lineRule="auto"/>
        <w:rPr>
          <w:rFonts w:cs="Arial"/>
          <w:b/>
          <w:bCs/>
          <w:sz w:val="20"/>
          <w:szCs w:val="20"/>
        </w:rPr>
      </w:pPr>
    </w:p>
    <w:p w14:paraId="60F201C3" w14:textId="4B65FE95" w:rsidR="00002CD7" w:rsidRPr="00F47BE6" w:rsidRDefault="007E38C3" w:rsidP="00D36E11">
      <w:pPr>
        <w:spacing w:after="0" w:line="240" w:lineRule="auto"/>
        <w:rPr>
          <w:rFonts w:cs="Arial"/>
          <w:sz w:val="20"/>
          <w:szCs w:val="20"/>
        </w:rPr>
      </w:pPr>
      <w:r w:rsidRPr="00803F11">
        <w:rPr>
          <w:rFonts w:cs="Arial"/>
          <w:sz w:val="20"/>
          <w:szCs w:val="20"/>
          <w:u w:val="single"/>
        </w:rPr>
        <w:t>Background</w:t>
      </w:r>
      <w:r w:rsidR="00F47BE6" w:rsidRPr="00803F11">
        <w:rPr>
          <w:rFonts w:cs="Arial"/>
          <w:sz w:val="20"/>
          <w:szCs w:val="20"/>
          <w:u w:val="single"/>
        </w:rPr>
        <w:t>:</w:t>
      </w:r>
      <w:r w:rsidR="00F47BE6">
        <w:rPr>
          <w:rFonts w:cs="Arial"/>
          <w:sz w:val="20"/>
          <w:szCs w:val="20"/>
        </w:rPr>
        <w:t xml:space="preserve"> </w:t>
      </w:r>
      <w:r w:rsidRPr="00F47BE6">
        <w:rPr>
          <w:rFonts w:cs="Arial"/>
          <w:sz w:val="20"/>
          <w:szCs w:val="20"/>
        </w:rPr>
        <w:t xml:space="preserve">In 2025, &gt;26,000 people were diagnosed with malignant brain tumors in the U.S.; many were high-grade glioblastomas (cancer) with poor prognosis despite treatment. Another common type are low-grade gliomas which have longer survivorship. All people with malignant brain tumors experience decreases in daily functioning (from the tumor and/or treatment), fatigue, and pain. There are few evidence-based interventions designed to improve quality of life for people diagnosed with brain tumors. The </w:t>
      </w:r>
      <w:proofErr w:type="gramStart"/>
      <w:r w:rsidRPr="00F47BE6">
        <w:rPr>
          <w:rFonts w:cs="Arial"/>
          <w:sz w:val="20"/>
          <w:szCs w:val="20"/>
        </w:rPr>
        <w:t>purpose</w:t>
      </w:r>
      <w:proofErr w:type="gramEnd"/>
      <w:r w:rsidRPr="00F47BE6">
        <w:rPr>
          <w:rFonts w:cs="Arial"/>
          <w:sz w:val="20"/>
          <w:szCs w:val="20"/>
        </w:rPr>
        <w:t xml:space="preserve"> this study was to identify needs of people diagnosed with any type of malignant brain tumor from a qualitative study conducted to inform intervention content.</w:t>
      </w:r>
      <w:r w:rsidRPr="00F47BE6">
        <w:rPr>
          <w:rFonts w:cs="Arial"/>
          <w:sz w:val="20"/>
          <w:szCs w:val="20"/>
        </w:rPr>
        <w:br/>
      </w:r>
      <w:r w:rsidRPr="00803F11">
        <w:rPr>
          <w:rFonts w:cs="Arial"/>
          <w:sz w:val="20"/>
          <w:szCs w:val="20"/>
          <w:u w:val="single"/>
        </w:rPr>
        <w:t>Methods</w:t>
      </w:r>
      <w:r w:rsidR="00F47BE6" w:rsidRPr="00803F11">
        <w:rPr>
          <w:rFonts w:cs="Arial"/>
          <w:sz w:val="20"/>
          <w:szCs w:val="20"/>
          <w:u w:val="single"/>
        </w:rPr>
        <w:t>:</w:t>
      </w:r>
      <w:r w:rsidR="00F47BE6">
        <w:rPr>
          <w:rFonts w:cs="Arial"/>
          <w:b/>
          <w:bCs/>
          <w:sz w:val="20"/>
          <w:szCs w:val="20"/>
        </w:rPr>
        <w:t xml:space="preserve"> </w:t>
      </w:r>
      <w:r w:rsidRPr="00F47BE6">
        <w:rPr>
          <w:rFonts w:cs="Arial"/>
          <w:sz w:val="20"/>
          <w:szCs w:val="20"/>
        </w:rPr>
        <w:t xml:space="preserve">Focus groups with people living with brain tumors (initially diagnosed &lt;= 1-month prior) were conducted. Purposeful sampling criteria included younger and older age, veterans, lower- and higher-grade gliomas, and low physical and/or cognitive functioning. We included a person living with brain tumor (DM) as a full qualitative analytic team member following Participatory Action Research methodology. Conventional content analysis was </w:t>
      </w:r>
      <w:r w:rsidRPr="00F47BE6">
        <w:rPr>
          <w:rFonts w:cs="Arial"/>
          <w:sz w:val="20"/>
          <w:szCs w:val="20"/>
        </w:rPr>
        <w:lastRenderedPageBreak/>
        <w:t>followed.</w:t>
      </w:r>
      <w:r w:rsidRPr="00F47BE6">
        <w:rPr>
          <w:rFonts w:cs="Arial"/>
          <w:sz w:val="20"/>
          <w:szCs w:val="20"/>
        </w:rPr>
        <w:br/>
      </w:r>
      <w:r w:rsidRPr="00803F11">
        <w:rPr>
          <w:rFonts w:cs="Arial"/>
          <w:sz w:val="20"/>
          <w:szCs w:val="20"/>
          <w:u w:val="single"/>
        </w:rPr>
        <w:t>Results</w:t>
      </w:r>
      <w:r w:rsidR="00F47BE6" w:rsidRPr="00803F11">
        <w:rPr>
          <w:rFonts w:cs="Arial"/>
          <w:sz w:val="20"/>
          <w:szCs w:val="20"/>
          <w:u w:val="single"/>
        </w:rPr>
        <w:t>:</w:t>
      </w:r>
      <w:r w:rsidR="00F47BE6">
        <w:rPr>
          <w:rFonts w:cs="Arial"/>
          <w:b/>
          <w:bCs/>
          <w:sz w:val="20"/>
          <w:szCs w:val="20"/>
        </w:rPr>
        <w:t xml:space="preserve"> </w:t>
      </w:r>
      <w:r w:rsidRPr="00F47BE6">
        <w:rPr>
          <w:rFonts w:cs="Arial"/>
          <w:sz w:val="20"/>
          <w:szCs w:val="20"/>
        </w:rPr>
        <w:t xml:space="preserve">Eight focus groups were conducted in 2025 (N=61 participants). Participants confirmed common symptoms of brain tumors (e.g., brain fog, fatigue) and reported non-specific symptoms and hardships. </w:t>
      </w:r>
      <w:proofErr w:type="gramStart"/>
      <w:r w:rsidRPr="00F47BE6">
        <w:rPr>
          <w:rFonts w:cs="Arial"/>
          <w:sz w:val="20"/>
          <w:szCs w:val="20"/>
        </w:rPr>
        <w:t>Challenges</w:t>
      </w:r>
      <w:proofErr w:type="gramEnd"/>
      <w:r w:rsidRPr="00F47BE6">
        <w:rPr>
          <w:rFonts w:cs="Arial"/>
          <w:sz w:val="20"/>
          <w:szCs w:val="20"/>
        </w:rPr>
        <w:t xml:space="preserve"> understanding their symptoms’ etiology (progression of disease or side-effect of treatment</w:t>
      </w:r>
      <w:proofErr w:type="gramStart"/>
      <w:r w:rsidRPr="00F47BE6">
        <w:rPr>
          <w:rFonts w:cs="Arial"/>
          <w:sz w:val="20"/>
          <w:szCs w:val="20"/>
        </w:rPr>
        <w:t>), and</w:t>
      </w:r>
      <w:proofErr w:type="gramEnd"/>
      <w:r w:rsidRPr="00F47BE6">
        <w:rPr>
          <w:rFonts w:cs="Arial"/>
          <w:sz w:val="20"/>
          <w:szCs w:val="20"/>
        </w:rPr>
        <w:t xml:space="preserve"> accessing care needed across multiple clinician specialties and locations, especially for symptoms outside of neuro-oncology expertise, were common. Symptoms and gaps in care participants experienced significantly impacted their daily functioning and sense of wellbeing. Participants reported feeling emotionally overwhelmed by their diagnosis, ongoing treatment and care needs, and uncertainties. These experiences negatively </w:t>
      </w:r>
      <w:proofErr w:type="gramStart"/>
      <w:r w:rsidRPr="00F47BE6">
        <w:rPr>
          <w:rFonts w:cs="Arial"/>
          <w:sz w:val="20"/>
          <w:szCs w:val="20"/>
        </w:rPr>
        <w:t>impacted</w:t>
      </w:r>
      <w:proofErr w:type="gramEnd"/>
      <w:r w:rsidRPr="00F47BE6">
        <w:rPr>
          <w:rFonts w:cs="Arial"/>
          <w:sz w:val="20"/>
          <w:szCs w:val="20"/>
        </w:rPr>
        <w:t xml:space="preserve"> participants’ ability to track information across clinical visits, their work, and relationships with friends and family.</w:t>
      </w:r>
      <w:r w:rsidRPr="00F47BE6">
        <w:rPr>
          <w:rFonts w:cs="Arial"/>
          <w:sz w:val="20"/>
          <w:szCs w:val="20"/>
        </w:rPr>
        <w:br/>
      </w:r>
      <w:r w:rsidRPr="00803F11">
        <w:rPr>
          <w:rFonts w:cs="Arial"/>
          <w:sz w:val="20"/>
          <w:szCs w:val="20"/>
          <w:u w:val="single"/>
        </w:rPr>
        <w:t>Discussion/Conclusions</w:t>
      </w:r>
      <w:r w:rsidR="00F47BE6" w:rsidRPr="00803F11">
        <w:rPr>
          <w:rFonts w:cs="Arial"/>
          <w:sz w:val="20"/>
          <w:szCs w:val="20"/>
          <w:u w:val="single"/>
        </w:rPr>
        <w:t>:</w:t>
      </w:r>
      <w:r w:rsidR="00F47BE6">
        <w:rPr>
          <w:rFonts w:cs="Arial"/>
          <w:sz w:val="20"/>
          <w:szCs w:val="20"/>
        </w:rPr>
        <w:t xml:space="preserve"> </w:t>
      </w:r>
      <w:r w:rsidRPr="00F47BE6">
        <w:rPr>
          <w:rFonts w:cs="Arial"/>
          <w:sz w:val="20"/>
          <w:szCs w:val="20"/>
        </w:rPr>
        <w:t xml:space="preserve">People diagnosed with a </w:t>
      </w:r>
      <w:proofErr w:type="gramStart"/>
      <w:r w:rsidRPr="00F47BE6">
        <w:rPr>
          <w:rFonts w:cs="Arial"/>
          <w:sz w:val="20"/>
          <w:szCs w:val="20"/>
        </w:rPr>
        <w:t>malignant brain tumor experienced non-specific symptoms</w:t>
      </w:r>
      <w:proofErr w:type="gramEnd"/>
      <w:r w:rsidRPr="00F47BE6">
        <w:rPr>
          <w:rFonts w:cs="Arial"/>
          <w:sz w:val="20"/>
          <w:szCs w:val="20"/>
        </w:rPr>
        <w:t xml:space="preserve"> that require care outside of neuro-oncology.  Integrated health systems, uniting multidisciplinary care teams, are needed to meet the multifactorial needs of people living with brain tumors.</w:t>
      </w:r>
    </w:p>
    <w:p w14:paraId="38BCBB09" w14:textId="77777777" w:rsidR="007A7813" w:rsidRDefault="007A7813" w:rsidP="00D36E11">
      <w:pPr>
        <w:spacing w:after="0" w:line="240" w:lineRule="auto"/>
        <w:rPr>
          <w:rFonts w:cs="Arial"/>
          <w:b/>
          <w:sz w:val="20"/>
          <w:szCs w:val="20"/>
        </w:rPr>
      </w:pPr>
    </w:p>
    <w:p w14:paraId="3F3A8D33" w14:textId="7578DCD5" w:rsidR="00002CD7" w:rsidRDefault="00F47BE6" w:rsidP="00D36E11">
      <w:pPr>
        <w:spacing w:after="0" w:line="240" w:lineRule="auto"/>
        <w:rPr>
          <w:rFonts w:cs="Arial"/>
          <w:sz w:val="20"/>
          <w:szCs w:val="20"/>
        </w:rPr>
      </w:pPr>
      <w:r>
        <w:rPr>
          <w:rFonts w:cs="Arial"/>
          <w:b/>
          <w:sz w:val="20"/>
          <w:szCs w:val="20"/>
        </w:rPr>
        <w:t>Author List</w:t>
      </w:r>
      <w:r w:rsidR="007E38C3" w:rsidRPr="00F47BE6">
        <w:rPr>
          <w:rFonts w:cs="Arial"/>
          <w:b/>
          <w:sz w:val="20"/>
          <w:szCs w:val="20"/>
        </w:rPr>
        <w:t xml:space="preserve">: </w:t>
      </w:r>
      <w:r w:rsidR="007E38C3" w:rsidRPr="00F47BE6">
        <w:rPr>
          <w:rFonts w:cs="Arial"/>
          <w:sz w:val="20"/>
          <w:szCs w:val="20"/>
        </w:rPr>
        <w:t>Juliana G. Barnard, MA</w:t>
      </w:r>
      <w:r w:rsidR="00504860">
        <w:rPr>
          <w:rFonts w:cs="Arial"/>
          <w:sz w:val="20"/>
          <w:szCs w:val="20"/>
        </w:rPr>
        <w:t xml:space="preserve"> (1)</w:t>
      </w:r>
      <w:r w:rsidR="007C2B4B">
        <w:rPr>
          <w:rFonts w:cs="Arial"/>
          <w:sz w:val="20"/>
          <w:szCs w:val="20"/>
        </w:rPr>
        <w:t xml:space="preserve">, </w:t>
      </w:r>
      <w:r w:rsidR="007E38C3" w:rsidRPr="00F47BE6">
        <w:rPr>
          <w:rFonts w:cs="Arial"/>
          <w:sz w:val="20"/>
          <w:szCs w:val="20"/>
        </w:rPr>
        <w:t>Carly Ritger, MS</w:t>
      </w:r>
      <w:r w:rsidR="007C2B4B">
        <w:rPr>
          <w:rFonts w:cs="Arial"/>
          <w:sz w:val="20"/>
          <w:szCs w:val="20"/>
        </w:rPr>
        <w:t xml:space="preserve"> (2), </w:t>
      </w:r>
      <w:r w:rsidR="007E38C3" w:rsidRPr="00F47BE6">
        <w:rPr>
          <w:rFonts w:cs="Arial"/>
          <w:sz w:val="20"/>
          <w:szCs w:val="20"/>
        </w:rPr>
        <w:t>Daniel Myers</w:t>
      </w:r>
      <w:r w:rsidR="007C2B4B">
        <w:rPr>
          <w:rFonts w:cs="Arial"/>
          <w:sz w:val="20"/>
          <w:szCs w:val="20"/>
        </w:rPr>
        <w:t xml:space="preserve"> (2), </w:t>
      </w:r>
      <w:r w:rsidR="007E38C3" w:rsidRPr="00F47BE6">
        <w:rPr>
          <w:rFonts w:cs="Arial"/>
          <w:sz w:val="20"/>
          <w:szCs w:val="20"/>
        </w:rPr>
        <w:t>Lindsay A. Lennox, MA</w:t>
      </w:r>
      <w:r w:rsidR="007C2B4B">
        <w:rPr>
          <w:rFonts w:cs="Arial"/>
          <w:sz w:val="20"/>
          <w:szCs w:val="20"/>
        </w:rPr>
        <w:t xml:space="preserve"> (</w:t>
      </w:r>
      <w:r w:rsidR="008C0C47">
        <w:rPr>
          <w:rFonts w:cs="Arial"/>
          <w:sz w:val="20"/>
          <w:szCs w:val="20"/>
        </w:rPr>
        <w:t>3)</w:t>
      </w:r>
      <w:r w:rsidR="007E38C3" w:rsidRPr="00F47BE6">
        <w:rPr>
          <w:rFonts w:cs="Arial"/>
          <w:sz w:val="20"/>
          <w:szCs w:val="20"/>
        </w:rPr>
        <w:t>,</w:t>
      </w:r>
      <w:r w:rsidR="008C0C47">
        <w:rPr>
          <w:rFonts w:cs="Arial"/>
          <w:sz w:val="20"/>
          <w:szCs w:val="20"/>
        </w:rPr>
        <w:t xml:space="preserve"> </w:t>
      </w:r>
      <w:r w:rsidR="007E38C3" w:rsidRPr="00F47BE6">
        <w:rPr>
          <w:rFonts w:cs="Arial"/>
          <w:sz w:val="20"/>
          <w:szCs w:val="20"/>
        </w:rPr>
        <w:t xml:space="preserve">Heather L. Smyth. Ph.D. </w:t>
      </w:r>
      <w:r w:rsidR="008C0C47">
        <w:rPr>
          <w:rFonts w:cs="Arial"/>
          <w:sz w:val="20"/>
          <w:szCs w:val="20"/>
        </w:rPr>
        <w:t xml:space="preserve">(4), </w:t>
      </w:r>
      <w:r w:rsidR="007E38C3" w:rsidRPr="00F47BE6">
        <w:rPr>
          <w:rFonts w:cs="Arial"/>
          <w:sz w:val="20"/>
          <w:szCs w:val="20"/>
        </w:rPr>
        <w:t>Shelby West, MPH</w:t>
      </w:r>
      <w:r w:rsidR="008C0C47">
        <w:rPr>
          <w:rFonts w:cs="Arial"/>
          <w:sz w:val="20"/>
          <w:szCs w:val="20"/>
        </w:rPr>
        <w:t xml:space="preserve"> (3), </w:t>
      </w:r>
      <w:r w:rsidR="007E38C3" w:rsidRPr="00F47BE6">
        <w:rPr>
          <w:rFonts w:cs="Arial"/>
          <w:sz w:val="20"/>
          <w:szCs w:val="20"/>
        </w:rPr>
        <w:t>Clara Adeniyi, BA, MS</w:t>
      </w:r>
      <w:r w:rsidR="008C0C47">
        <w:rPr>
          <w:rFonts w:cs="Arial"/>
          <w:sz w:val="20"/>
          <w:szCs w:val="20"/>
        </w:rPr>
        <w:t xml:space="preserve"> (5)</w:t>
      </w:r>
      <w:r w:rsidR="007E38C3" w:rsidRPr="00F47BE6">
        <w:rPr>
          <w:rFonts w:cs="Arial"/>
          <w:sz w:val="20"/>
          <w:szCs w:val="20"/>
        </w:rPr>
        <w:t>,</w:t>
      </w:r>
      <w:r w:rsidR="008C0C47" w:rsidRPr="00F47BE6">
        <w:rPr>
          <w:rFonts w:cs="Arial"/>
          <w:sz w:val="20"/>
          <w:szCs w:val="20"/>
        </w:rPr>
        <w:t xml:space="preserve"> </w:t>
      </w:r>
      <w:r w:rsidR="007E38C3" w:rsidRPr="00F47BE6">
        <w:rPr>
          <w:rFonts w:cs="Arial"/>
          <w:sz w:val="20"/>
          <w:szCs w:val="20"/>
        </w:rPr>
        <w:t>Molly McVoy, MD</w:t>
      </w:r>
      <w:r w:rsidR="008C0C47">
        <w:rPr>
          <w:rFonts w:cs="Arial"/>
          <w:sz w:val="20"/>
          <w:szCs w:val="20"/>
        </w:rPr>
        <w:t xml:space="preserve"> (6)</w:t>
      </w:r>
      <w:r w:rsidR="007E38C3" w:rsidRPr="00F47BE6">
        <w:rPr>
          <w:rFonts w:cs="Arial"/>
          <w:sz w:val="20"/>
          <w:szCs w:val="20"/>
        </w:rPr>
        <w:t>,</w:t>
      </w:r>
      <w:r w:rsidR="008C0C47">
        <w:rPr>
          <w:rFonts w:cs="Arial"/>
          <w:sz w:val="20"/>
          <w:szCs w:val="20"/>
        </w:rPr>
        <w:t xml:space="preserve"> </w:t>
      </w:r>
      <w:r w:rsidR="007E38C3" w:rsidRPr="00F47BE6">
        <w:rPr>
          <w:rFonts w:cs="Arial"/>
          <w:sz w:val="20"/>
          <w:szCs w:val="20"/>
        </w:rPr>
        <w:t>Bethany M. Kwan, PhD, MSPH</w:t>
      </w:r>
      <w:r w:rsidR="008C0C47">
        <w:rPr>
          <w:rFonts w:cs="Arial"/>
          <w:sz w:val="20"/>
          <w:szCs w:val="20"/>
        </w:rPr>
        <w:t xml:space="preserve"> (</w:t>
      </w:r>
      <w:r w:rsidR="00C64F0F">
        <w:rPr>
          <w:rFonts w:cs="Arial"/>
          <w:sz w:val="20"/>
          <w:szCs w:val="20"/>
        </w:rPr>
        <w:t>3)</w:t>
      </w:r>
    </w:p>
    <w:p w14:paraId="6FA7F942" w14:textId="77777777" w:rsidR="007A7813" w:rsidRDefault="007A7813" w:rsidP="00D36E11">
      <w:pPr>
        <w:spacing w:after="0" w:line="240" w:lineRule="auto"/>
        <w:rPr>
          <w:sz w:val="20"/>
          <w:szCs w:val="20"/>
        </w:rPr>
      </w:pPr>
    </w:p>
    <w:p w14:paraId="6E653430" w14:textId="3B601239" w:rsidR="00F73285" w:rsidRDefault="00F73285" w:rsidP="00D36E11">
      <w:pPr>
        <w:spacing w:after="0" w:line="240" w:lineRule="auto"/>
      </w:pPr>
      <w:r>
        <w:rPr>
          <w:sz w:val="20"/>
          <w:szCs w:val="20"/>
        </w:rPr>
        <w:t xml:space="preserve">(1) </w:t>
      </w:r>
      <w:r w:rsidRPr="00F47BE6">
        <w:rPr>
          <w:rFonts w:cs="Arial"/>
          <w:sz w:val="20"/>
          <w:szCs w:val="20"/>
        </w:rPr>
        <w:t xml:space="preserve">Department of Pediatrics, University of Colorado Anschutz </w:t>
      </w:r>
      <w:r w:rsidRPr="00F47BE6">
        <w:rPr>
          <w:rFonts w:cs="Arial"/>
          <w:sz w:val="20"/>
          <w:szCs w:val="20"/>
        </w:rPr>
        <w:br/>
      </w:r>
      <w:r>
        <w:rPr>
          <w:sz w:val="20"/>
          <w:szCs w:val="20"/>
        </w:rPr>
        <w:t xml:space="preserve">(2) </w:t>
      </w:r>
      <w:r w:rsidRPr="006B13AC">
        <w:rPr>
          <w:sz w:val="20"/>
          <w:szCs w:val="20"/>
        </w:rPr>
        <w:t>Adult and Child Center for Outcomes Research and Delivery Science</w:t>
      </w:r>
      <w:r w:rsidRPr="00F47BE6">
        <w:rPr>
          <w:sz w:val="20"/>
          <w:szCs w:val="20"/>
        </w:rPr>
        <w:t xml:space="preserve"> </w:t>
      </w:r>
      <w:r>
        <w:rPr>
          <w:sz w:val="20"/>
          <w:szCs w:val="20"/>
        </w:rPr>
        <w:t>(</w:t>
      </w:r>
      <w:r w:rsidRPr="00F47BE6">
        <w:rPr>
          <w:rFonts w:cs="Arial"/>
          <w:sz w:val="20"/>
          <w:szCs w:val="20"/>
        </w:rPr>
        <w:t>ACCORDS</w:t>
      </w:r>
      <w:r>
        <w:rPr>
          <w:sz w:val="20"/>
          <w:szCs w:val="20"/>
        </w:rPr>
        <w:t>)</w:t>
      </w:r>
      <w:r w:rsidRPr="00F47BE6">
        <w:rPr>
          <w:rFonts w:cs="Arial"/>
          <w:sz w:val="20"/>
          <w:szCs w:val="20"/>
        </w:rPr>
        <w:t>, University of Colorado Anschutz</w:t>
      </w:r>
      <w:r w:rsidRPr="00F47BE6">
        <w:rPr>
          <w:rFonts w:cs="Arial"/>
          <w:sz w:val="20"/>
          <w:szCs w:val="20"/>
        </w:rPr>
        <w:br/>
      </w:r>
      <w:r>
        <w:rPr>
          <w:sz w:val="20"/>
          <w:szCs w:val="20"/>
        </w:rPr>
        <w:t>(3)</w:t>
      </w:r>
      <w:r w:rsidRPr="00F47BE6">
        <w:rPr>
          <w:rFonts w:cs="Arial"/>
          <w:sz w:val="20"/>
          <w:szCs w:val="20"/>
        </w:rPr>
        <w:t xml:space="preserve"> Department of Emergency Medicine, University of Colorado Anschutz</w:t>
      </w:r>
      <w:r w:rsidRPr="00F47BE6">
        <w:rPr>
          <w:rFonts w:cs="Arial"/>
          <w:sz w:val="20"/>
          <w:szCs w:val="20"/>
        </w:rPr>
        <w:br/>
      </w:r>
      <w:r>
        <w:rPr>
          <w:sz w:val="20"/>
          <w:szCs w:val="20"/>
        </w:rPr>
        <w:t xml:space="preserve">(4) </w:t>
      </w:r>
      <w:r w:rsidRPr="00F47BE6">
        <w:rPr>
          <w:rFonts w:cs="Arial"/>
          <w:sz w:val="20"/>
          <w:szCs w:val="20"/>
        </w:rPr>
        <w:t>Department of Biostatistics and Informatics, Colorado School of Public Health, University of Colorado Anschutz</w:t>
      </w:r>
      <w:r w:rsidRPr="00F47BE6">
        <w:rPr>
          <w:rFonts w:cs="Arial"/>
          <w:sz w:val="20"/>
          <w:szCs w:val="20"/>
        </w:rPr>
        <w:br/>
      </w:r>
      <w:r>
        <w:rPr>
          <w:sz w:val="20"/>
          <w:szCs w:val="20"/>
        </w:rPr>
        <w:t xml:space="preserve">(5) </w:t>
      </w:r>
      <w:r w:rsidRPr="00F47BE6">
        <w:rPr>
          <w:rFonts w:cs="Arial"/>
          <w:sz w:val="20"/>
          <w:szCs w:val="20"/>
        </w:rPr>
        <w:t>Case Western Reserve University</w:t>
      </w:r>
      <w:r w:rsidRPr="00F47BE6">
        <w:rPr>
          <w:rFonts w:cs="Arial"/>
          <w:sz w:val="20"/>
          <w:szCs w:val="20"/>
        </w:rPr>
        <w:br/>
      </w:r>
      <w:r>
        <w:rPr>
          <w:sz w:val="20"/>
          <w:szCs w:val="20"/>
        </w:rPr>
        <w:t xml:space="preserve">(6) </w:t>
      </w:r>
      <w:r w:rsidRPr="00F47BE6">
        <w:rPr>
          <w:rFonts w:cs="Arial"/>
          <w:sz w:val="20"/>
          <w:szCs w:val="20"/>
        </w:rPr>
        <w:t>School of Medicine, Case Western Reserve University</w:t>
      </w:r>
    </w:p>
    <w:p w14:paraId="18A93A97" w14:textId="77777777" w:rsidR="00F73285" w:rsidRDefault="00F73285" w:rsidP="00D36E11">
      <w:pPr>
        <w:spacing w:after="0" w:line="240" w:lineRule="auto"/>
        <w:rPr>
          <w:rFonts w:cs="Arial"/>
          <w:b/>
          <w:sz w:val="20"/>
          <w:szCs w:val="20"/>
        </w:rPr>
      </w:pPr>
    </w:p>
    <w:p w14:paraId="378839CF" w14:textId="77777777" w:rsidR="007A7813" w:rsidRDefault="007A7813" w:rsidP="00D36E11">
      <w:pPr>
        <w:spacing w:after="0" w:line="240" w:lineRule="auto"/>
        <w:rPr>
          <w:rFonts w:cs="Arial"/>
          <w:b/>
          <w:sz w:val="20"/>
          <w:szCs w:val="20"/>
        </w:rPr>
      </w:pPr>
    </w:p>
    <w:p w14:paraId="0E4C1417" w14:textId="02E86568" w:rsidR="00002CD7" w:rsidRPr="00650756" w:rsidRDefault="007673A4" w:rsidP="00D36E11">
      <w:pPr>
        <w:spacing w:after="0" w:line="240" w:lineRule="auto"/>
        <w:rPr>
          <w:rFonts w:cs="Arial"/>
          <w:sz w:val="20"/>
          <w:szCs w:val="20"/>
          <w:u w:val="single"/>
        </w:rPr>
      </w:pPr>
      <w:r>
        <w:rPr>
          <w:rFonts w:cs="Arial"/>
          <w:b/>
          <w:sz w:val="20"/>
          <w:szCs w:val="20"/>
          <w:u w:val="single"/>
        </w:rPr>
        <w:t xml:space="preserve">21. </w:t>
      </w:r>
      <w:r w:rsidR="007E38C3" w:rsidRPr="00650756">
        <w:rPr>
          <w:rFonts w:cs="Arial"/>
          <w:b/>
          <w:sz w:val="20"/>
          <w:szCs w:val="20"/>
          <w:u w:val="single"/>
        </w:rPr>
        <w:t>Quality of Life Measurement for Children with Medical Complexity and its Relationship to Child and Caregiver Outcomes</w:t>
      </w:r>
    </w:p>
    <w:p w14:paraId="2732FFDD" w14:textId="77777777" w:rsidR="00650756" w:rsidRDefault="00650756" w:rsidP="00D36E11">
      <w:pPr>
        <w:spacing w:after="0" w:line="240" w:lineRule="auto"/>
        <w:rPr>
          <w:rFonts w:cs="Arial"/>
          <w:b/>
          <w:sz w:val="20"/>
          <w:szCs w:val="20"/>
        </w:rPr>
      </w:pPr>
    </w:p>
    <w:p w14:paraId="17AB7FB7" w14:textId="2C111A84"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Christopher Stille, University of Colorado School of Medicine</w:t>
      </w:r>
    </w:p>
    <w:p w14:paraId="78D6EF57" w14:textId="77777777" w:rsidR="00650756" w:rsidRDefault="00650756" w:rsidP="00D36E11">
      <w:pPr>
        <w:spacing w:after="0" w:line="240" w:lineRule="auto"/>
        <w:rPr>
          <w:rFonts w:cs="Arial"/>
          <w:sz w:val="20"/>
          <w:szCs w:val="20"/>
        </w:rPr>
      </w:pPr>
    </w:p>
    <w:p w14:paraId="294F3C4A" w14:textId="3A8B16E5" w:rsidR="00002CD7" w:rsidRPr="00F47BE6" w:rsidRDefault="007E38C3" w:rsidP="00D36E11">
      <w:pPr>
        <w:spacing w:after="0" w:line="240" w:lineRule="auto"/>
        <w:rPr>
          <w:rFonts w:cs="Arial"/>
          <w:sz w:val="20"/>
          <w:szCs w:val="20"/>
        </w:rPr>
      </w:pPr>
      <w:r w:rsidRPr="00650756">
        <w:rPr>
          <w:rFonts w:cs="Arial"/>
          <w:sz w:val="20"/>
          <w:szCs w:val="20"/>
          <w:u w:val="single"/>
        </w:rPr>
        <w:t>Background:</w:t>
      </w:r>
      <w:r w:rsidRPr="00F47BE6">
        <w:rPr>
          <w:rFonts w:cs="Arial"/>
          <w:sz w:val="20"/>
          <w:szCs w:val="20"/>
        </w:rPr>
        <w:t xml:space="preserve"> Quality of life (QoL) is an important patient-centered outcome of health system interventions for children. The unique features of children with medical complexity (CMC) make measuring QoL difficult. Because of the unique roles of parents in their care, parents describe their own health and functioning as inextricably linked to their child’s QoL. </w:t>
      </w:r>
      <w:r w:rsidR="00650756">
        <w:rPr>
          <w:rFonts w:cs="Arial"/>
          <w:sz w:val="20"/>
          <w:szCs w:val="20"/>
        </w:rPr>
        <w:t xml:space="preserve">Objective: </w:t>
      </w:r>
      <w:r w:rsidRPr="00F47BE6">
        <w:rPr>
          <w:rFonts w:cs="Arial"/>
          <w:sz w:val="20"/>
          <w:szCs w:val="20"/>
        </w:rPr>
        <w:t>To identify the best QoL measure for CMC and assess its relationship to important child and caregiver outcomes for a national CMC cohort.</w:t>
      </w:r>
      <w:r w:rsidRPr="00F47BE6">
        <w:rPr>
          <w:rFonts w:cs="Arial"/>
          <w:sz w:val="20"/>
          <w:szCs w:val="20"/>
        </w:rPr>
        <w:br/>
      </w:r>
      <w:r w:rsidRPr="00650756">
        <w:rPr>
          <w:rFonts w:cs="Arial"/>
          <w:sz w:val="20"/>
          <w:szCs w:val="20"/>
          <w:u w:val="single"/>
        </w:rPr>
        <w:t>Methods:</w:t>
      </w:r>
      <w:r w:rsidRPr="00F47BE6">
        <w:rPr>
          <w:rFonts w:cs="Arial"/>
          <w:sz w:val="20"/>
          <w:szCs w:val="20"/>
        </w:rPr>
        <w:t xml:space="preserve"> We chose the best QoL measure from 35 existing measures using the COSMIN framework and input from parents of CMC in Fall 2025. The 32-item Qi-Disability survey (Qi-D), developed for children with neurodevelopmental disabilities but intended for use in all children with disabilities, was chosen. In early 2026, parents from a longitudinal survey cohort of CMC from 4 US children’s hospitals completed the Qi-D in English and questions related to current child and caregiver health and functioning. Analysis compared health and functioning questions to Qi-D responses; univariate comparisons are presented, with multivariable analyses planned.</w:t>
      </w:r>
      <w:r w:rsidRPr="00F47BE6">
        <w:rPr>
          <w:rFonts w:cs="Arial"/>
          <w:sz w:val="20"/>
          <w:szCs w:val="20"/>
        </w:rPr>
        <w:br/>
      </w:r>
      <w:r w:rsidRPr="00650756">
        <w:rPr>
          <w:rFonts w:cs="Arial"/>
          <w:sz w:val="20"/>
          <w:szCs w:val="20"/>
          <w:u w:val="single"/>
        </w:rPr>
        <w:t>Results:</w:t>
      </w:r>
      <w:r w:rsidRPr="00F47BE6">
        <w:rPr>
          <w:rFonts w:cs="Arial"/>
          <w:sz w:val="20"/>
          <w:szCs w:val="20"/>
        </w:rPr>
        <w:t xml:space="preserve"> Of 473 eligible children, parents completed surveys for 227 (48%). Mean Qi-D score was 72.2 + 16.5 /100, compared with the international benchmark mean of 70.5. Lower scores were associated with child characteristics of adolescent age; public insurance or uninsured; fair or poor health; worsening health; impact of condition on activities; and missed school days. Lower scores were associated with caregiver characteristics of fair or poor physical health; fair or poor mental and emotional health; and parent having cut down or left work.</w:t>
      </w:r>
      <w:r w:rsidRPr="00F47BE6">
        <w:rPr>
          <w:rFonts w:cs="Arial"/>
          <w:sz w:val="20"/>
          <w:szCs w:val="20"/>
        </w:rPr>
        <w:br/>
      </w:r>
      <w:r w:rsidRPr="00650756">
        <w:rPr>
          <w:rFonts w:cs="Arial"/>
          <w:sz w:val="20"/>
          <w:szCs w:val="20"/>
          <w:u w:val="single"/>
        </w:rPr>
        <w:t>Conclusions:</w:t>
      </w:r>
      <w:r w:rsidRPr="00F47BE6">
        <w:rPr>
          <w:rFonts w:cs="Arial"/>
          <w:sz w:val="20"/>
          <w:szCs w:val="20"/>
        </w:rPr>
        <w:t xml:space="preserve"> The Qi-Disability survey, among a national US sample of CMC, has comparable results to international populations of children with neurodevelopmental conditions. Qi-D scores are strongly related to both child and caregiver outcomes, suggesting a strong relationship between child QoL and caregiver health.</w:t>
      </w:r>
    </w:p>
    <w:p w14:paraId="31BE5C6D" w14:textId="77777777" w:rsidR="00650756" w:rsidRDefault="00650756" w:rsidP="00D36E11">
      <w:pPr>
        <w:spacing w:after="0" w:line="240" w:lineRule="auto"/>
        <w:rPr>
          <w:rFonts w:cs="Arial"/>
          <w:b/>
          <w:sz w:val="20"/>
          <w:szCs w:val="20"/>
        </w:rPr>
      </w:pPr>
    </w:p>
    <w:p w14:paraId="5FC8AE2F" w14:textId="0C9D9951"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Christopher J. Stille (</w:t>
      </w:r>
      <w:r w:rsidR="00CA0072">
        <w:rPr>
          <w:rFonts w:cs="Arial"/>
          <w:sz w:val="20"/>
          <w:szCs w:val="20"/>
        </w:rPr>
        <w:t>1</w:t>
      </w:r>
      <w:r w:rsidR="007E38C3" w:rsidRPr="00F47BE6">
        <w:rPr>
          <w:rFonts w:cs="Arial"/>
          <w:sz w:val="20"/>
          <w:szCs w:val="20"/>
        </w:rPr>
        <w:t>), Stefanie G. Ames (</w:t>
      </w:r>
      <w:r w:rsidR="00CA0072">
        <w:rPr>
          <w:rFonts w:cs="Arial"/>
          <w:sz w:val="20"/>
          <w:szCs w:val="20"/>
        </w:rPr>
        <w:t>2</w:t>
      </w:r>
      <w:r w:rsidR="007E38C3" w:rsidRPr="00F47BE6">
        <w:rPr>
          <w:rFonts w:cs="Arial"/>
          <w:sz w:val="20"/>
          <w:szCs w:val="20"/>
        </w:rPr>
        <w:t>), Margaret Comeau (</w:t>
      </w:r>
      <w:r w:rsidR="00CA0072">
        <w:rPr>
          <w:rFonts w:cs="Arial"/>
          <w:sz w:val="20"/>
          <w:szCs w:val="20"/>
        </w:rPr>
        <w:t>3</w:t>
      </w:r>
      <w:r w:rsidR="007E38C3" w:rsidRPr="00F47BE6">
        <w:rPr>
          <w:rFonts w:cs="Arial"/>
          <w:sz w:val="20"/>
          <w:szCs w:val="20"/>
        </w:rPr>
        <w:t>), Amanda Gatewood (</w:t>
      </w:r>
      <w:r w:rsidR="00CA0072">
        <w:rPr>
          <w:rFonts w:cs="Arial"/>
          <w:sz w:val="20"/>
          <w:szCs w:val="20"/>
        </w:rPr>
        <w:t>4</w:t>
      </w:r>
      <w:r w:rsidR="007E38C3" w:rsidRPr="00F47BE6">
        <w:rPr>
          <w:rFonts w:cs="Arial"/>
          <w:sz w:val="20"/>
          <w:szCs w:val="20"/>
        </w:rPr>
        <w:t>), Bridget Mosley (</w:t>
      </w:r>
      <w:r w:rsidR="00CA0072">
        <w:rPr>
          <w:rFonts w:cs="Arial"/>
          <w:sz w:val="20"/>
          <w:szCs w:val="20"/>
        </w:rPr>
        <w:t>1</w:t>
      </w:r>
      <w:r w:rsidR="007E38C3" w:rsidRPr="00F47BE6">
        <w:rPr>
          <w:rFonts w:cs="Arial"/>
          <w:sz w:val="20"/>
          <w:szCs w:val="20"/>
        </w:rPr>
        <w:t>), Kisori Thomas (</w:t>
      </w:r>
      <w:r w:rsidR="00CA0072">
        <w:rPr>
          <w:rFonts w:cs="Arial"/>
          <w:sz w:val="20"/>
          <w:szCs w:val="20"/>
        </w:rPr>
        <w:t>1</w:t>
      </w:r>
      <w:r w:rsidR="007E38C3" w:rsidRPr="00F47BE6">
        <w:rPr>
          <w:rFonts w:cs="Arial"/>
          <w:sz w:val="20"/>
          <w:szCs w:val="20"/>
        </w:rPr>
        <w:t>), Ryan Coller (</w:t>
      </w:r>
      <w:r w:rsidR="00CA0072">
        <w:rPr>
          <w:rFonts w:cs="Arial"/>
          <w:sz w:val="20"/>
          <w:szCs w:val="20"/>
        </w:rPr>
        <w:t>4</w:t>
      </w:r>
      <w:r w:rsidR="007E38C3" w:rsidRPr="00F47BE6">
        <w:rPr>
          <w:rFonts w:cs="Arial"/>
          <w:sz w:val="20"/>
          <w:szCs w:val="20"/>
        </w:rPr>
        <w:t>)</w:t>
      </w:r>
    </w:p>
    <w:p w14:paraId="1DBC13B5" w14:textId="77777777" w:rsidR="00650756" w:rsidRDefault="00650756" w:rsidP="00D36E11">
      <w:pPr>
        <w:spacing w:after="0" w:line="240" w:lineRule="auto"/>
        <w:rPr>
          <w:rFonts w:cs="Arial"/>
          <w:sz w:val="20"/>
          <w:szCs w:val="20"/>
        </w:rPr>
      </w:pPr>
    </w:p>
    <w:p w14:paraId="50616B65" w14:textId="77777777" w:rsidR="00650756" w:rsidRDefault="00650756" w:rsidP="00D36E11">
      <w:pPr>
        <w:spacing w:after="0" w:line="240" w:lineRule="auto"/>
        <w:rPr>
          <w:rFonts w:cs="Arial"/>
          <w:sz w:val="20"/>
          <w:szCs w:val="20"/>
        </w:rPr>
      </w:pPr>
      <w:r>
        <w:rPr>
          <w:rFonts w:cs="Arial"/>
          <w:sz w:val="20"/>
          <w:szCs w:val="20"/>
        </w:rPr>
        <w:t xml:space="preserve">(1) </w:t>
      </w:r>
      <w:r w:rsidRPr="00F47BE6">
        <w:rPr>
          <w:rFonts w:cs="Arial"/>
          <w:sz w:val="20"/>
          <w:szCs w:val="20"/>
        </w:rPr>
        <w:t>CU Anschutz</w:t>
      </w:r>
    </w:p>
    <w:p w14:paraId="27DF825A" w14:textId="77777777" w:rsidR="00650756" w:rsidRDefault="00650756" w:rsidP="00D36E11">
      <w:pPr>
        <w:spacing w:after="0" w:line="240" w:lineRule="auto"/>
        <w:rPr>
          <w:rFonts w:cs="Arial"/>
          <w:sz w:val="20"/>
          <w:szCs w:val="20"/>
        </w:rPr>
      </w:pPr>
      <w:r>
        <w:rPr>
          <w:rFonts w:cs="Arial"/>
          <w:sz w:val="20"/>
          <w:szCs w:val="20"/>
        </w:rPr>
        <w:t xml:space="preserve">(2) </w:t>
      </w:r>
      <w:r w:rsidRPr="00F47BE6">
        <w:rPr>
          <w:rFonts w:cs="Arial"/>
          <w:sz w:val="20"/>
          <w:szCs w:val="20"/>
        </w:rPr>
        <w:t>University of Utah</w:t>
      </w:r>
    </w:p>
    <w:p w14:paraId="6A84B00B" w14:textId="77777777" w:rsidR="00650756" w:rsidRDefault="00650756" w:rsidP="00D36E11">
      <w:pPr>
        <w:spacing w:after="0" w:line="240" w:lineRule="auto"/>
        <w:rPr>
          <w:rFonts w:cs="Arial"/>
          <w:sz w:val="20"/>
          <w:szCs w:val="20"/>
        </w:rPr>
      </w:pPr>
      <w:r>
        <w:rPr>
          <w:rFonts w:cs="Arial"/>
          <w:sz w:val="20"/>
          <w:szCs w:val="20"/>
        </w:rPr>
        <w:t>(3</w:t>
      </w:r>
      <w:r w:rsidRPr="00F47BE6">
        <w:rPr>
          <w:rFonts w:cs="Arial"/>
          <w:sz w:val="20"/>
          <w:szCs w:val="20"/>
        </w:rPr>
        <w:t>) Boston University</w:t>
      </w:r>
    </w:p>
    <w:p w14:paraId="4323A900" w14:textId="4A651387" w:rsidR="00650756" w:rsidRDefault="00650756" w:rsidP="00D36E11">
      <w:pPr>
        <w:spacing w:after="0" w:line="240" w:lineRule="auto"/>
        <w:rPr>
          <w:rFonts w:cs="Arial"/>
          <w:sz w:val="20"/>
          <w:szCs w:val="20"/>
        </w:rPr>
      </w:pPr>
      <w:r>
        <w:rPr>
          <w:rFonts w:cs="Arial"/>
          <w:sz w:val="20"/>
          <w:szCs w:val="20"/>
        </w:rPr>
        <w:t>(4</w:t>
      </w:r>
      <w:r w:rsidRPr="00F47BE6">
        <w:rPr>
          <w:rFonts w:cs="Arial"/>
          <w:sz w:val="20"/>
          <w:szCs w:val="20"/>
        </w:rPr>
        <w:t>) University of Wisconsin</w:t>
      </w:r>
    </w:p>
    <w:p w14:paraId="7887D323" w14:textId="77777777" w:rsidR="00650756" w:rsidRPr="00F47BE6" w:rsidRDefault="00650756" w:rsidP="00D36E11">
      <w:pPr>
        <w:spacing w:after="0" w:line="240" w:lineRule="auto"/>
        <w:rPr>
          <w:rFonts w:cs="Arial"/>
          <w:sz w:val="20"/>
          <w:szCs w:val="20"/>
        </w:rPr>
      </w:pPr>
    </w:p>
    <w:p w14:paraId="30CF2FF8" w14:textId="77777777" w:rsidR="00002CD7" w:rsidRPr="00F47BE6" w:rsidRDefault="00002CD7" w:rsidP="00D36E11">
      <w:pPr>
        <w:spacing w:after="0" w:line="240" w:lineRule="auto"/>
        <w:rPr>
          <w:rFonts w:cs="Arial"/>
          <w:sz w:val="20"/>
          <w:szCs w:val="20"/>
        </w:rPr>
      </w:pPr>
    </w:p>
    <w:p w14:paraId="7434CA9E" w14:textId="4BEE1F78" w:rsidR="00002CD7" w:rsidRPr="00751DA1" w:rsidRDefault="0025692C" w:rsidP="00D36E11">
      <w:pPr>
        <w:spacing w:after="0" w:line="240" w:lineRule="auto"/>
        <w:rPr>
          <w:rFonts w:cs="Arial"/>
          <w:sz w:val="20"/>
          <w:szCs w:val="20"/>
          <w:u w:val="single"/>
        </w:rPr>
      </w:pPr>
      <w:r>
        <w:rPr>
          <w:rFonts w:cs="Arial"/>
          <w:b/>
          <w:sz w:val="20"/>
          <w:szCs w:val="20"/>
          <w:u w:val="single"/>
        </w:rPr>
        <w:t xml:space="preserve">22. </w:t>
      </w:r>
      <w:r w:rsidR="007E38C3" w:rsidRPr="00751DA1">
        <w:rPr>
          <w:rFonts w:cs="Arial"/>
          <w:b/>
          <w:sz w:val="20"/>
          <w:szCs w:val="20"/>
          <w:u w:val="single"/>
        </w:rPr>
        <w:t>Improving type 2 diabetes management in primary care through periodic continuous glucose monitoring (T2D INSIGHT)</w:t>
      </w:r>
    </w:p>
    <w:p w14:paraId="5975F850" w14:textId="77777777" w:rsidR="006104A9" w:rsidRDefault="006104A9" w:rsidP="00D36E11">
      <w:pPr>
        <w:spacing w:after="0" w:line="240" w:lineRule="auto"/>
        <w:rPr>
          <w:rFonts w:cs="Arial"/>
          <w:b/>
          <w:sz w:val="20"/>
          <w:szCs w:val="20"/>
        </w:rPr>
      </w:pPr>
    </w:p>
    <w:p w14:paraId="284E07BC" w14:textId="4749134B"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Tristen Hall, University of Colorado School of Medicine</w:t>
      </w:r>
    </w:p>
    <w:p w14:paraId="054B7092" w14:textId="77777777" w:rsidR="006104A9" w:rsidRDefault="006104A9" w:rsidP="00D36E11">
      <w:pPr>
        <w:spacing w:after="0" w:line="240" w:lineRule="auto"/>
        <w:rPr>
          <w:rFonts w:cs="Arial"/>
          <w:b/>
          <w:bCs/>
          <w:sz w:val="20"/>
          <w:szCs w:val="20"/>
        </w:rPr>
      </w:pPr>
    </w:p>
    <w:p w14:paraId="548B8658" w14:textId="1DC40DA0"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Continuous glucose monitoring (CGM) improves glycemic and psychosocial outcomes in type 2 diabetes (T2D), but insurance barriers and out-of-pocket cost can limit access in primary care. Because 90% of people with T2D receive diabetes care in primary care settings, scalable, lower-cost approaches are needed. </w:t>
      </w:r>
      <w:proofErr w:type="gramStart"/>
      <w:r w:rsidRPr="00F47BE6">
        <w:rPr>
          <w:rFonts w:cs="Arial"/>
          <w:sz w:val="20"/>
          <w:szCs w:val="20"/>
        </w:rPr>
        <w:t>Over-the-counter</w:t>
      </w:r>
      <w:proofErr w:type="gramEnd"/>
      <w:r w:rsidRPr="00F47BE6">
        <w:rPr>
          <w:rFonts w:cs="Arial"/>
          <w:sz w:val="20"/>
          <w:szCs w:val="20"/>
        </w:rPr>
        <w:t xml:space="preserve"> (OTC) CGM may expand access, but the effectiveness and optimal interval of periodic use in adults with non-insulin-treated T2D in primary care are unknown. This study will assess the effectiveness, feasibility, acceptability, and reach of periodic OTC CGM use at two intervals among adults with non-insulin-treated T2D in primary care. </w:t>
      </w:r>
      <w:r w:rsidRPr="00F47BE6">
        <w:rPr>
          <w:rFonts w:cs="Arial"/>
          <w:sz w:val="20"/>
          <w:szCs w:val="20"/>
        </w:rPr>
        <w:br/>
      </w:r>
      <w:r w:rsidRPr="00751DA1">
        <w:rPr>
          <w:rFonts w:cs="Arial"/>
          <w:sz w:val="20"/>
          <w:szCs w:val="20"/>
          <w:u w:val="single"/>
        </w:rPr>
        <w:t>Methods:</w:t>
      </w:r>
      <w:r w:rsidRPr="00F47BE6">
        <w:rPr>
          <w:rFonts w:cs="Arial"/>
          <w:sz w:val="20"/>
          <w:szCs w:val="20"/>
        </w:rPr>
        <w:t xml:space="preserve"> This two-arm, 1:1 individually randomized trial will enroll up to 188 adults aged 18 years or older with T2D not treated with insulin from urban, suburban, and rural Colorado primary care practices. Participants will be randomized to use one 15-day Dexcom Stelo sensor every 30 or 90 days for 6 months. The primary outcome is change in A1c, from baseline to 6 months. Secondary outcomes include change in CGM metrics (e.g. time in range) from baseline to 6 months, feasibility, acceptability, and equitable reach, assessed through wear patterns, satisfaction, willingness to pay, demographics, clinician surveys, and clinician interviews. </w:t>
      </w:r>
      <w:r w:rsidRPr="00F47BE6">
        <w:rPr>
          <w:rFonts w:cs="Arial"/>
          <w:sz w:val="20"/>
          <w:szCs w:val="20"/>
        </w:rPr>
        <w:br/>
      </w:r>
      <w:r w:rsidRPr="00751DA1">
        <w:rPr>
          <w:rFonts w:cs="Arial"/>
          <w:sz w:val="20"/>
          <w:szCs w:val="20"/>
          <w:u w:val="single"/>
        </w:rPr>
        <w:t>Results:</w:t>
      </w:r>
      <w:r w:rsidRPr="00F47BE6">
        <w:rPr>
          <w:rFonts w:cs="Arial"/>
          <w:sz w:val="20"/>
          <w:szCs w:val="20"/>
        </w:rPr>
        <w:t xml:space="preserve"> Enrollment numbers and demographics will be reported. We anticipate that periodic OTC CGM at both 30-day and 90-day intervals will improve A1c, time in range, and time in tight range compared with baseline. We further hypothesize that 90-day intervals will be non-inferior to 30-day intervals for A1c reduction, while offering primary care a lower-cost option. We expect OTC CGM to be feasible, acceptable, and capable of expanding equitable access to glucose monitoring in adults with non-insulin-treated T2D. </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This study will generate among the first findings of effectiveness of periodic, OTC CGM for people with T2D not treated with insulin in primary care.</w:t>
      </w:r>
    </w:p>
    <w:p w14:paraId="0242D140" w14:textId="77777777" w:rsidR="006104A9" w:rsidRDefault="006104A9" w:rsidP="00D36E11">
      <w:pPr>
        <w:spacing w:after="0" w:line="240" w:lineRule="auto"/>
        <w:rPr>
          <w:rFonts w:cs="Arial"/>
          <w:b/>
          <w:sz w:val="20"/>
          <w:szCs w:val="20"/>
        </w:rPr>
      </w:pPr>
    </w:p>
    <w:p w14:paraId="07ADD003" w14:textId="3A2A426B"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Tristen Hall, PhD, MPH</w:t>
      </w:r>
      <w:r w:rsidR="00DE4880">
        <w:rPr>
          <w:rFonts w:cs="Arial"/>
          <w:sz w:val="20"/>
          <w:szCs w:val="20"/>
        </w:rPr>
        <w:t xml:space="preserve">, </w:t>
      </w:r>
      <w:r w:rsidR="007E38C3" w:rsidRPr="00F47BE6">
        <w:rPr>
          <w:rFonts w:cs="Arial"/>
          <w:sz w:val="20"/>
          <w:szCs w:val="20"/>
        </w:rPr>
        <w:t>Chelsea Sobczak, MPH</w:t>
      </w:r>
      <w:r w:rsidR="00DE4880">
        <w:rPr>
          <w:rFonts w:cs="Arial"/>
          <w:sz w:val="20"/>
          <w:szCs w:val="20"/>
        </w:rPr>
        <w:t xml:space="preserve">, </w:t>
      </w:r>
      <w:r w:rsidR="007E38C3" w:rsidRPr="00F47BE6">
        <w:rPr>
          <w:rFonts w:cs="Arial"/>
          <w:sz w:val="20"/>
          <w:szCs w:val="20"/>
        </w:rPr>
        <w:t>Elizabeth Westfeldt, BSN, RN</w:t>
      </w:r>
      <w:r w:rsidR="00DE4880">
        <w:rPr>
          <w:rFonts w:cs="Arial"/>
          <w:sz w:val="20"/>
          <w:szCs w:val="20"/>
        </w:rPr>
        <w:t xml:space="preserve">, </w:t>
      </w:r>
      <w:r w:rsidR="007E38C3" w:rsidRPr="00F47BE6">
        <w:rPr>
          <w:rFonts w:cs="Arial"/>
          <w:sz w:val="20"/>
          <w:szCs w:val="20"/>
        </w:rPr>
        <w:t>Kimberly Wiggins, PhD, MA, M</w:t>
      </w:r>
      <w:r w:rsidR="00DE4880" w:rsidRPr="00F47BE6">
        <w:rPr>
          <w:rFonts w:cs="Arial"/>
          <w:sz w:val="20"/>
          <w:szCs w:val="20"/>
        </w:rPr>
        <w:t>e</w:t>
      </w:r>
      <w:r w:rsidR="007E38C3" w:rsidRPr="00F47BE6">
        <w:rPr>
          <w:rFonts w:cs="Arial"/>
          <w:sz w:val="20"/>
          <w:szCs w:val="20"/>
        </w:rPr>
        <w:t>d</w:t>
      </w:r>
      <w:r w:rsidR="00DE4880">
        <w:rPr>
          <w:rFonts w:cs="Arial"/>
          <w:sz w:val="20"/>
          <w:szCs w:val="20"/>
        </w:rPr>
        <w:t xml:space="preserve">, </w:t>
      </w:r>
      <w:r w:rsidR="007E38C3" w:rsidRPr="00F47BE6">
        <w:rPr>
          <w:rFonts w:cs="Arial"/>
          <w:sz w:val="20"/>
          <w:szCs w:val="20"/>
        </w:rPr>
        <w:t>Marisa Kostiuk, PhD</w:t>
      </w:r>
      <w:r w:rsidR="00DE4880">
        <w:rPr>
          <w:rFonts w:cs="Arial"/>
          <w:sz w:val="20"/>
          <w:szCs w:val="20"/>
        </w:rPr>
        <w:t xml:space="preserve">, </w:t>
      </w:r>
      <w:r w:rsidR="007E38C3" w:rsidRPr="00F47BE6">
        <w:rPr>
          <w:rFonts w:cs="Arial"/>
          <w:sz w:val="20"/>
          <w:szCs w:val="20"/>
        </w:rPr>
        <w:t>Shwetan Kumar</w:t>
      </w:r>
      <w:r w:rsidR="00DE4880">
        <w:rPr>
          <w:rFonts w:cs="Arial"/>
          <w:sz w:val="20"/>
          <w:szCs w:val="20"/>
        </w:rPr>
        <w:t xml:space="preserve">, </w:t>
      </w:r>
      <w:r w:rsidR="007E38C3" w:rsidRPr="00F47BE6">
        <w:rPr>
          <w:rFonts w:cs="Arial"/>
          <w:sz w:val="20"/>
          <w:szCs w:val="20"/>
        </w:rPr>
        <w:t>Benjamin Sheneman</w:t>
      </w:r>
      <w:r w:rsidR="00DE4880">
        <w:rPr>
          <w:rFonts w:cs="Arial"/>
          <w:sz w:val="20"/>
          <w:szCs w:val="20"/>
        </w:rPr>
        <w:t xml:space="preserve">, </w:t>
      </w:r>
      <w:r w:rsidR="007E38C3" w:rsidRPr="00F47BE6">
        <w:rPr>
          <w:rFonts w:cs="Arial"/>
          <w:sz w:val="20"/>
          <w:szCs w:val="20"/>
        </w:rPr>
        <w:t>Tamara Oser, MD</w:t>
      </w:r>
    </w:p>
    <w:p w14:paraId="6EC97A1F" w14:textId="77777777" w:rsidR="006104A9" w:rsidRDefault="006104A9" w:rsidP="00D36E11">
      <w:pPr>
        <w:spacing w:after="0" w:line="240" w:lineRule="auto"/>
        <w:rPr>
          <w:rFonts w:cs="Arial"/>
          <w:sz w:val="20"/>
          <w:szCs w:val="20"/>
        </w:rPr>
      </w:pPr>
    </w:p>
    <w:p w14:paraId="36CEEC3A" w14:textId="174FE323" w:rsidR="00DE4880" w:rsidRDefault="00DE4880" w:rsidP="00D36E11">
      <w:pPr>
        <w:spacing w:after="0" w:line="240" w:lineRule="auto"/>
        <w:rPr>
          <w:sz w:val="20"/>
          <w:szCs w:val="20"/>
        </w:rPr>
      </w:pPr>
      <w:r w:rsidRPr="00F47BE6">
        <w:rPr>
          <w:rFonts w:cs="Arial"/>
          <w:sz w:val="20"/>
          <w:szCs w:val="20"/>
        </w:rPr>
        <w:t>Department of Family Medicine, University of Colorado Anschutz</w:t>
      </w:r>
    </w:p>
    <w:p w14:paraId="3211C81A" w14:textId="77777777" w:rsidR="00002CD7" w:rsidRDefault="00002CD7" w:rsidP="00D36E11">
      <w:pPr>
        <w:spacing w:after="0" w:line="240" w:lineRule="auto"/>
        <w:rPr>
          <w:rFonts w:cs="Arial"/>
          <w:sz w:val="20"/>
          <w:szCs w:val="20"/>
        </w:rPr>
      </w:pPr>
    </w:p>
    <w:p w14:paraId="4AFAEC81" w14:textId="77777777" w:rsidR="006104A9" w:rsidRPr="00F47BE6" w:rsidRDefault="006104A9" w:rsidP="00D36E11">
      <w:pPr>
        <w:spacing w:after="0" w:line="240" w:lineRule="auto"/>
        <w:rPr>
          <w:rFonts w:cs="Arial"/>
          <w:sz w:val="20"/>
          <w:szCs w:val="20"/>
        </w:rPr>
      </w:pPr>
    </w:p>
    <w:p w14:paraId="4F683443" w14:textId="0A2AF948" w:rsidR="00002CD7" w:rsidRPr="00751DA1" w:rsidRDefault="00855C15" w:rsidP="00D36E11">
      <w:pPr>
        <w:spacing w:after="0" w:line="240" w:lineRule="auto"/>
        <w:rPr>
          <w:rFonts w:cs="Arial"/>
          <w:sz w:val="20"/>
          <w:szCs w:val="20"/>
          <w:u w:val="single"/>
        </w:rPr>
      </w:pPr>
      <w:r>
        <w:rPr>
          <w:rFonts w:cs="Arial"/>
          <w:b/>
          <w:sz w:val="20"/>
          <w:szCs w:val="20"/>
          <w:u w:val="single"/>
        </w:rPr>
        <w:t xml:space="preserve">23. </w:t>
      </w:r>
      <w:r w:rsidR="007E38C3" w:rsidRPr="00751DA1">
        <w:rPr>
          <w:rFonts w:cs="Arial"/>
          <w:b/>
          <w:sz w:val="20"/>
          <w:szCs w:val="20"/>
          <w:u w:val="single"/>
        </w:rPr>
        <w:t>MedEd: An Innovative Approach to Enhance Patient Comprehension and Interpretation of a Sample Mammography Report</w:t>
      </w:r>
    </w:p>
    <w:p w14:paraId="20E52E2F" w14:textId="77777777" w:rsidR="007A7813" w:rsidRDefault="007A7813" w:rsidP="00D36E11">
      <w:pPr>
        <w:spacing w:after="0" w:line="240" w:lineRule="auto"/>
        <w:rPr>
          <w:rFonts w:cs="Arial"/>
          <w:b/>
          <w:sz w:val="20"/>
          <w:szCs w:val="20"/>
        </w:rPr>
      </w:pPr>
    </w:p>
    <w:p w14:paraId="6BA9D07E" w14:textId="7C7EA0A1"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George Burnet, University of Colorado School of Medicine</w:t>
      </w:r>
    </w:p>
    <w:p w14:paraId="3DB5D9DA" w14:textId="77777777" w:rsidR="007A7813" w:rsidRDefault="007A7813" w:rsidP="00D36E11">
      <w:pPr>
        <w:spacing w:after="0" w:line="240" w:lineRule="auto"/>
        <w:rPr>
          <w:rFonts w:cs="Arial"/>
          <w:b/>
          <w:bCs/>
          <w:sz w:val="20"/>
          <w:szCs w:val="20"/>
        </w:rPr>
      </w:pPr>
    </w:p>
    <w:p w14:paraId="6CB07006" w14:textId="670FC727" w:rsidR="00002CD7" w:rsidRPr="00F47BE6" w:rsidRDefault="00751DA1" w:rsidP="00D36E11">
      <w:pPr>
        <w:spacing w:after="0" w:line="240" w:lineRule="auto"/>
        <w:rPr>
          <w:rFonts w:cs="Arial"/>
          <w:sz w:val="20"/>
          <w:szCs w:val="20"/>
        </w:rPr>
      </w:pPr>
      <w:r w:rsidRPr="00803F11">
        <w:rPr>
          <w:rFonts w:cs="Arial"/>
          <w:sz w:val="20"/>
          <w:szCs w:val="20"/>
          <w:u w:val="single"/>
        </w:rPr>
        <w:t>Background:</w:t>
      </w:r>
      <w:r>
        <w:rPr>
          <w:rFonts w:cs="Arial"/>
          <w:sz w:val="20"/>
          <w:szCs w:val="20"/>
        </w:rPr>
        <w:t xml:space="preserve"> </w:t>
      </w:r>
      <w:r w:rsidR="007E38C3" w:rsidRPr="00F47BE6">
        <w:rPr>
          <w:rFonts w:cs="Arial"/>
          <w:sz w:val="20"/>
          <w:szCs w:val="20"/>
        </w:rPr>
        <w:t xml:space="preserve">To better support patients’ understanding of their mammogram report, a novel Google Chrome extension (MedEd) was developed and found to be acceptable to patients in prior research conducted by our team. This study aims to assess the impact of MedEd on a patient’s perceived comprehension of a mammogram report. </w:t>
      </w:r>
      <w:r w:rsidR="007E38C3" w:rsidRPr="00F47BE6">
        <w:rPr>
          <w:rFonts w:cs="Arial"/>
          <w:sz w:val="20"/>
          <w:szCs w:val="20"/>
        </w:rPr>
        <w:br/>
      </w:r>
      <w:r w:rsidR="007E38C3" w:rsidRPr="00751DA1">
        <w:rPr>
          <w:rFonts w:cs="Arial"/>
          <w:sz w:val="20"/>
          <w:szCs w:val="20"/>
          <w:u w:val="single"/>
        </w:rPr>
        <w:t>Methods:</w:t>
      </w:r>
      <w:r w:rsidR="007E38C3" w:rsidRPr="00F47BE6">
        <w:rPr>
          <w:rFonts w:cs="Arial"/>
          <w:sz w:val="20"/>
          <w:szCs w:val="20"/>
        </w:rPr>
        <w:t xml:space="preserve"> Female patients seen for a screening mammogram between May-August 2023 were invited to participate in a semi-structured interview that assessed experiences interpreting a sample mammography report of BIRADS 5 and their perception of the report with and without MedEd. All interviews were transcribed verbatim and coded for thematic elements using Dedoose software.</w:t>
      </w:r>
      <w:r w:rsidR="007E38C3" w:rsidRPr="00F47BE6">
        <w:rPr>
          <w:rFonts w:cs="Arial"/>
          <w:sz w:val="20"/>
          <w:szCs w:val="20"/>
        </w:rPr>
        <w:br/>
      </w:r>
      <w:r w:rsidR="007E38C3" w:rsidRPr="00751DA1">
        <w:rPr>
          <w:rFonts w:cs="Arial"/>
          <w:sz w:val="20"/>
          <w:szCs w:val="20"/>
          <w:u w:val="single"/>
        </w:rPr>
        <w:t>Results:</w:t>
      </w:r>
      <w:r w:rsidR="007E38C3" w:rsidRPr="00F47BE6">
        <w:rPr>
          <w:rFonts w:cs="Arial"/>
          <w:sz w:val="20"/>
          <w:szCs w:val="20"/>
        </w:rPr>
        <w:t xml:space="preserve"> Fourteen patients completed semi-structured interviews and three thematic areas with associated codes were identified (Table 1). Most patients described a partial understanding of the mammogram report which was limited by medical terminology, abbreviations, and metric measurements. After using MedEd, most patients described improved perceived comprehension of the report’s </w:t>
      </w:r>
      <w:proofErr w:type="gramStart"/>
      <w:r w:rsidR="007E38C3" w:rsidRPr="00F47BE6">
        <w:rPr>
          <w:rFonts w:cs="Arial"/>
          <w:sz w:val="20"/>
          <w:szCs w:val="20"/>
        </w:rPr>
        <w:t>contents</w:t>
      </w:r>
      <w:proofErr w:type="gramEnd"/>
      <w:r w:rsidR="007E38C3" w:rsidRPr="00F47BE6">
        <w:rPr>
          <w:rFonts w:cs="Arial"/>
          <w:sz w:val="20"/>
          <w:szCs w:val="20"/>
        </w:rPr>
        <w:t xml:space="preserve"> a reduction in anxiety while confirming terminology definitions. Some patients highlighted the continued desire for provider consultation for further discussions about report contents but indicated MedEd could bridge the time gap between result release and provider consultation. </w:t>
      </w:r>
      <w:r w:rsidR="007E38C3" w:rsidRPr="00F47BE6">
        <w:rPr>
          <w:rFonts w:cs="Arial"/>
          <w:sz w:val="20"/>
          <w:szCs w:val="20"/>
        </w:rPr>
        <w:br/>
      </w:r>
      <w:r w:rsidR="007E38C3" w:rsidRPr="00751DA1">
        <w:rPr>
          <w:rFonts w:cs="Arial"/>
          <w:sz w:val="20"/>
          <w:szCs w:val="20"/>
          <w:u w:val="single"/>
        </w:rPr>
        <w:t>Conclusions:</w:t>
      </w:r>
      <w:r w:rsidR="007E38C3" w:rsidRPr="00F47BE6">
        <w:rPr>
          <w:rFonts w:cs="Arial"/>
          <w:sz w:val="20"/>
          <w:szCs w:val="20"/>
        </w:rPr>
        <w:t xml:space="preserve"> The immediate release of medical reports can promote patient autonomy but can also increase anxiety and confusion as patients interpret their health information before provider support is available. MedEd improved most </w:t>
      </w:r>
      <w:proofErr w:type="gramStart"/>
      <w:r w:rsidR="007E38C3" w:rsidRPr="00F47BE6">
        <w:rPr>
          <w:rFonts w:cs="Arial"/>
          <w:sz w:val="20"/>
          <w:szCs w:val="20"/>
        </w:rPr>
        <w:t>patients’</w:t>
      </w:r>
      <w:proofErr w:type="gramEnd"/>
      <w:r w:rsidR="007E38C3" w:rsidRPr="00F47BE6">
        <w:rPr>
          <w:rFonts w:cs="Arial"/>
          <w:sz w:val="20"/>
          <w:szCs w:val="20"/>
        </w:rPr>
        <w:t xml:space="preserve"> perceived interpretation of a sample mammogram report and holds promise in supporting patients in the period between immediately released results and a provider consultation.</w:t>
      </w:r>
    </w:p>
    <w:p w14:paraId="59F58A0F" w14:textId="77777777" w:rsidR="007A7813" w:rsidRDefault="007A7813" w:rsidP="00D36E11">
      <w:pPr>
        <w:spacing w:after="0" w:line="240" w:lineRule="auto"/>
        <w:rPr>
          <w:rFonts w:cs="Arial"/>
          <w:b/>
          <w:sz w:val="20"/>
          <w:szCs w:val="20"/>
        </w:rPr>
      </w:pPr>
    </w:p>
    <w:p w14:paraId="47C698EE" w14:textId="047364FA" w:rsidR="00002CD7" w:rsidRPr="00F47BE6" w:rsidRDefault="00B02674" w:rsidP="00D36E11">
      <w:pPr>
        <w:spacing w:after="0" w:line="240" w:lineRule="auto"/>
        <w:rPr>
          <w:rFonts w:cs="Arial"/>
          <w:sz w:val="20"/>
          <w:szCs w:val="20"/>
        </w:rPr>
      </w:pPr>
      <w:r>
        <w:rPr>
          <w:rFonts w:cs="Arial"/>
          <w:b/>
          <w:sz w:val="20"/>
          <w:szCs w:val="20"/>
        </w:rPr>
        <w:lastRenderedPageBreak/>
        <w:t>Author List</w:t>
      </w:r>
      <w:r w:rsidRPr="00F47BE6">
        <w:rPr>
          <w:rFonts w:cs="Arial"/>
          <w:b/>
          <w:sz w:val="20"/>
          <w:szCs w:val="20"/>
        </w:rPr>
        <w:t xml:space="preserve">: </w:t>
      </w:r>
      <w:r w:rsidR="007E38C3" w:rsidRPr="00F47BE6">
        <w:rPr>
          <w:rFonts w:cs="Arial"/>
          <w:sz w:val="20"/>
          <w:szCs w:val="20"/>
        </w:rPr>
        <w:t>David Chen (1), George Burnet</w:t>
      </w:r>
      <w:r w:rsidR="00A66D14">
        <w:rPr>
          <w:rFonts w:cs="Arial"/>
          <w:sz w:val="20"/>
          <w:szCs w:val="20"/>
        </w:rPr>
        <w:t xml:space="preserve"> </w:t>
      </w:r>
      <w:r w:rsidR="007E38C3" w:rsidRPr="00F47BE6">
        <w:rPr>
          <w:rFonts w:cs="Arial"/>
          <w:sz w:val="20"/>
          <w:szCs w:val="20"/>
        </w:rPr>
        <w:t>(2), Abigail Ludwigson (1), Madeline Higgins (2), Sarah Leslie (3), Jakob Durden (2), Randy Miles (4), Nancy Taft (5), Dulcy Wolverton (6), Lauren McLemore (7), Erin Baurle (8), Sarah Tevis</w:t>
      </w:r>
      <w:r w:rsidR="0064735E">
        <w:rPr>
          <w:rFonts w:cs="Arial"/>
          <w:sz w:val="20"/>
          <w:szCs w:val="20"/>
        </w:rPr>
        <w:t xml:space="preserve"> (2</w:t>
      </w:r>
      <w:r w:rsidR="00C4204F">
        <w:rPr>
          <w:rFonts w:cs="Arial"/>
          <w:sz w:val="20"/>
          <w:szCs w:val="20"/>
        </w:rPr>
        <w:t>,3</w:t>
      </w:r>
      <w:r w:rsidR="0064735E">
        <w:rPr>
          <w:rFonts w:cs="Arial"/>
          <w:sz w:val="20"/>
          <w:szCs w:val="20"/>
        </w:rPr>
        <w:t>)</w:t>
      </w:r>
      <w:r w:rsidR="007E38C3" w:rsidRPr="00F47BE6">
        <w:rPr>
          <w:rFonts w:cs="Arial"/>
          <w:sz w:val="20"/>
          <w:szCs w:val="20"/>
        </w:rPr>
        <w:br/>
      </w:r>
      <w:r w:rsidR="007E38C3" w:rsidRPr="00F47BE6">
        <w:rPr>
          <w:rFonts w:cs="Arial"/>
          <w:sz w:val="20"/>
          <w:szCs w:val="20"/>
        </w:rPr>
        <w:br/>
      </w:r>
      <w:r w:rsidR="00A66D14">
        <w:rPr>
          <w:rFonts w:cs="Arial"/>
          <w:sz w:val="20"/>
          <w:szCs w:val="20"/>
        </w:rPr>
        <w:t xml:space="preserve">(1) </w:t>
      </w:r>
      <w:r w:rsidR="007E38C3" w:rsidRPr="00F47BE6">
        <w:rPr>
          <w:rFonts w:cs="Arial"/>
          <w:sz w:val="20"/>
          <w:szCs w:val="20"/>
        </w:rPr>
        <w:t>School of Medicine, University of Colorado Anschutz</w:t>
      </w:r>
      <w:r w:rsidR="007E38C3" w:rsidRPr="00F47BE6">
        <w:rPr>
          <w:rFonts w:cs="Arial"/>
          <w:sz w:val="20"/>
          <w:szCs w:val="20"/>
        </w:rPr>
        <w:br/>
      </w:r>
      <w:r w:rsidR="00A66D14">
        <w:rPr>
          <w:rFonts w:cs="Arial"/>
          <w:sz w:val="20"/>
          <w:szCs w:val="20"/>
        </w:rPr>
        <w:t xml:space="preserve">(2) </w:t>
      </w:r>
      <w:r w:rsidR="007E38C3" w:rsidRPr="00F47BE6">
        <w:rPr>
          <w:rFonts w:cs="Arial"/>
          <w:sz w:val="20"/>
          <w:szCs w:val="20"/>
        </w:rPr>
        <w:t>Department of Surgery, University of Colorado Anschutz</w:t>
      </w:r>
      <w:r w:rsidR="007E38C3" w:rsidRPr="00F47BE6">
        <w:rPr>
          <w:rFonts w:cs="Arial"/>
          <w:sz w:val="20"/>
          <w:szCs w:val="20"/>
        </w:rPr>
        <w:br/>
      </w:r>
      <w:r w:rsidR="00A66D14">
        <w:rPr>
          <w:rFonts w:cs="Arial"/>
          <w:sz w:val="20"/>
          <w:szCs w:val="20"/>
        </w:rPr>
        <w:t xml:space="preserve">(3) </w:t>
      </w:r>
      <w:r w:rsidR="0064735E" w:rsidRPr="0064735E">
        <w:rPr>
          <w:rFonts w:cs="Arial"/>
          <w:sz w:val="20"/>
          <w:szCs w:val="20"/>
        </w:rPr>
        <w:t xml:space="preserve">Adult and Child Center for Outcomes Research and Delivery Science (ACCORDS), </w:t>
      </w:r>
      <w:r w:rsidR="007E38C3" w:rsidRPr="00F47BE6">
        <w:rPr>
          <w:rFonts w:cs="Arial"/>
          <w:sz w:val="20"/>
          <w:szCs w:val="20"/>
        </w:rPr>
        <w:t>University of Colorado Anschutz</w:t>
      </w:r>
      <w:r w:rsidR="007E38C3" w:rsidRPr="00F47BE6">
        <w:rPr>
          <w:rFonts w:cs="Arial"/>
          <w:sz w:val="20"/>
          <w:szCs w:val="20"/>
        </w:rPr>
        <w:br/>
      </w:r>
      <w:r w:rsidR="00A66D14">
        <w:rPr>
          <w:rFonts w:cs="Arial"/>
          <w:sz w:val="20"/>
          <w:szCs w:val="20"/>
        </w:rPr>
        <w:t xml:space="preserve">(4) </w:t>
      </w:r>
      <w:r w:rsidR="007E38C3" w:rsidRPr="00F47BE6">
        <w:rPr>
          <w:rFonts w:cs="Arial"/>
          <w:sz w:val="20"/>
          <w:szCs w:val="20"/>
        </w:rPr>
        <w:t>Department of Radiology; Breast Imaging Division, Denver Health</w:t>
      </w:r>
      <w:r w:rsidR="007E38C3" w:rsidRPr="00F47BE6">
        <w:rPr>
          <w:rFonts w:cs="Arial"/>
          <w:sz w:val="20"/>
          <w:szCs w:val="20"/>
        </w:rPr>
        <w:br/>
      </w:r>
      <w:r w:rsidR="00A66D14">
        <w:rPr>
          <w:rFonts w:cs="Arial"/>
          <w:sz w:val="20"/>
          <w:szCs w:val="20"/>
        </w:rPr>
        <w:t xml:space="preserve">(5) </w:t>
      </w:r>
      <w:r w:rsidR="007E38C3" w:rsidRPr="00F47BE6">
        <w:rPr>
          <w:rFonts w:cs="Arial"/>
          <w:sz w:val="20"/>
          <w:szCs w:val="20"/>
        </w:rPr>
        <w:t>Department of Breast Surgical Oncology, Denver Health</w:t>
      </w:r>
      <w:r w:rsidR="007E38C3" w:rsidRPr="00F47BE6">
        <w:rPr>
          <w:rFonts w:cs="Arial"/>
          <w:sz w:val="20"/>
          <w:szCs w:val="20"/>
        </w:rPr>
        <w:br/>
      </w:r>
      <w:r w:rsidR="00A66D14">
        <w:rPr>
          <w:rFonts w:cs="Arial"/>
          <w:sz w:val="20"/>
          <w:szCs w:val="20"/>
        </w:rPr>
        <w:t xml:space="preserve">(6) </w:t>
      </w:r>
      <w:r w:rsidR="007E38C3" w:rsidRPr="00F47BE6">
        <w:rPr>
          <w:rFonts w:cs="Arial"/>
          <w:sz w:val="20"/>
          <w:szCs w:val="20"/>
        </w:rPr>
        <w:t>Department of Radiology, University of Colorado Anschutz</w:t>
      </w:r>
      <w:r w:rsidR="007E38C3" w:rsidRPr="00F47BE6">
        <w:rPr>
          <w:rFonts w:cs="Arial"/>
          <w:sz w:val="20"/>
          <w:szCs w:val="20"/>
        </w:rPr>
        <w:br/>
      </w:r>
      <w:r w:rsidR="00A66D14">
        <w:rPr>
          <w:rFonts w:cs="Arial"/>
          <w:sz w:val="20"/>
          <w:szCs w:val="20"/>
        </w:rPr>
        <w:t xml:space="preserve">(7) </w:t>
      </w:r>
      <w:r w:rsidR="007E38C3" w:rsidRPr="00F47BE6">
        <w:rPr>
          <w:rFonts w:cs="Arial"/>
          <w:sz w:val="20"/>
          <w:szCs w:val="20"/>
        </w:rPr>
        <w:t>Department of Pathology, University of Colorado Anschutz</w:t>
      </w:r>
      <w:r w:rsidR="007E38C3" w:rsidRPr="00F47BE6">
        <w:rPr>
          <w:rFonts w:cs="Arial"/>
          <w:sz w:val="20"/>
          <w:szCs w:val="20"/>
        </w:rPr>
        <w:br/>
      </w:r>
      <w:r w:rsidR="00A66D14">
        <w:rPr>
          <w:rFonts w:cs="Arial"/>
          <w:sz w:val="20"/>
          <w:szCs w:val="20"/>
        </w:rPr>
        <w:t xml:space="preserve">(8) </w:t>
      </w:r>
      <w:r w:rsidR="007E38C3" w:rsidRPr="00F47BE6">
        <w:rPr>
          <w:rFonts w:cs="Arial"/>
          <w:sz w:val="20"/>
          <w:szCs w:val="20"/>
        </w:rPr>
        <w:t>Department of Medicine, University of Colorado Anschutz</w:t>
      </w:r>
    </w:p>
    <w:p w14:paraId="28E5BAF4" w14:textId="77777777" w:rsidR="00002CD7" w:rsidRDefault="00002CD7" w:rsidP="00D36E11">
      <w:pPr>
        <w:spacing w:after="0" w:line="240" w:lineRule="auto"/>
        <w:rPr>
          <w:rFonts w:cs="Arial"/>
          <w:sz w:val="20"/>
          <w:szCs w:val="20"/>
        </w:rPr>
      </w:pPr>
    </w:p>
    <w:p w14:paraId="0DB5C362" w14:textId="77777777" w:rsidR="007A7813" w:rsidRPr="00F47BE6" w:rsidRDefault="007A7813" w:rsidP="00D36E11">
      <w:pPr>
        <w:spacing w:after="0" w:line="240" w:lineRule="auto"/>
        <w:rPr>
          <w:rFonts w:cs="Arial"/>
          <w:sz w:val="20"/>
          <w:szCs w:val="20"/>
        </w:rPr>
      </w:pPr>
    </w:p>
    <w:p w14:paraId="1041E9FA" w14:textId="7D8EBE5E" w:rsidR="00002CD7" w:rsidRPr="00751DA1" w:rsidRDefault="00C309EA" w:rsidP="00D36E11">
      <w:pPr>
        <w:spacing w:after="0" w:line="240" w:lineRule="auto"/>
        <w:rPr>
          <w:rFonts w:cs="Arial"/>
          <w:sz w:val="20"/>
          <w:szCs w:val="20"/>
          <w:u w:val="single"/>
        </w:rPr>
      </w:pPr>
      <w:r>
        <w:rPr>
          <w:rFonts w:cs="Arial"/>
          <w:b/>
          <w:sz w:val="20"/>
          <w:szCs w:val="20"/>
          <w:u w:val="single"/>
        </w:rPr>
        <w:t xml:space="preserve">24. </w:t>
      </w:r>
      <w:r w:rsidR="007E38C3" w:rsidRPr="00751DA1">
        <w:rPr>
          <w:rFonts w:cs="Arial"/>
          <w:b/>
          <w:sz w:val="20"/>
          <w:szCs w:val="20"/>
          <w:u w:val="single"/>
        </w:rPr>
        <w:t>Communicating the Journey: Designing Visualizations of Predicted Longitudinal Quality-of-Life Outcomes in Breast Cancer Surgery</w:t>
      </w:r>
    </w:p>
    <w:p w14:paraId="77B513AD" w14:textId="77777777" w:rsidR="007A7813" w:rsidRDefault="007A7813" w:rsidP="00D36E11">
      <w:pPr>
        <w:spacing w:after="0" w:line="240" w:lineRule="auto"/>
        <w:rPr>
          <w:rFonts w:cs="Arial"/>
          <w:b/>
          <w:sz w:val="20"/>
          <w:szCs w:val="20"/>
        </w:rPr>
      </w:pPr>
    </w:p>
    <w:p w14:paraId="4BB9CC4C" w14:textId="111542EC"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George Burnet, University of Colorado School of Medicine</w:t>
      </w:r>
    </w:p>
    <w:p w14:paraId="149FF5FF" w14:textId="77777777" w:rsidR="007A7813" w:rsidRDefault="007A7813" w:rsidP="00D36E11">
      <w:pPr>
        <w:spacing w:after="0" w:line="240" w:lineRule="auto"/>
        <w:rPr>
          <w:rFonts w:cs="Arial"/>
          <w:b/>
          <w:bCs/>
          <w:sz w:val="20"/>
          <w:szCs w:val="20"/>
        </w:rPr>
      </w:pPr>
    </w:p>
    <w:p w14:paraId="31DF6D75" w14:textId="42192152" w:rsidR="00002CD7" w:rsidRPr="00F47BE6" w:rsidRDefault="00751DA1" w:rsidP="00D36E11">
      <w:pPr>
        <w:spacing w:after="0" w:line="240" w:lineRule="auto"/>
        <w:rPr>
          <w:rFonts w:cs="Arial"/>
          <w:sz w:val="20"/>
          <w:szCs w:val="20"/>
        </w:rPr>
      </w:pPr>
      <w:r w:rsidRPr="00803F11">
        <w:rPr>
          <w:rFonts w:cs="Arial"/>
          <w:sz w:val="20"/>
          <w:szCs w:val="20"/>
          <w:u w:val="single"/>
        </w:rPr>
        <w:t>Background:</w:t>
      </w:r>
      <w:r>
        <w:rPr>
          <w:rFonts w:cs="Arial"/>
          <w:sz w:val="20"/>
          <w:szCs w:val="20"/>
        </w:rPr>
        <w:t xml:space="preserve"> </w:t>
      </w:r>
      <w:r w:rsidR="007E38C3" w:rsidRPr="00F47BE6">
        <w:rPr>
          <w:rFonts w:cs="Arial"/>
          <w:sz w:val="20"/>
          <w:szCs w:val="20"/>
        </w:rPr>
        <w:t>Lumpectomy and mastectomy have similar survival rates, but long-term side effects impact patients' quality of life (QoL) across different domains. Validated patient-reported outcome measures (PROMs) such as the BREAST-Q track QoL through treatment and survivorship, yet their integration into clinical decision-making remains limited, often buried in electronic health records or designed for clinicians. Existing literature on communicating outcomes to patients centers on risk probabilities rather than the predicted QoL journey. This study aimed to support the design of patient-centered PROM displays for tailored decision aids that enhance understanding, promote informed decisions, and help patients anticipate future QoL.</w:t>
      </w:r>
      <w:r w:rsidR="007E38C3" w:rsidRPr="00F47BE6">
        <w:rPr>
          <w:rFonts w:cs="Arial"/>
          <w:sz w:val="20"/>
          <w:szCs w:val="20"/>
        </w:rPr>
        <w:br/>
      </w:r>
      <w:r w:rsidR="007E38C3" w:rsidRPr="00751DA1">
        <w:rPr>
          <w:rFonts w:cs="Arial"/>
          <w:sz w:val="20"/>
          <w:szCs w:val="20"/>
          <w:u w:val="single"/>
        </w:rPr>
        <w:t>Methods</w:t>
      </w:r>
      <w:r w:rsidR="00265984" w:rsidRPr="00751DA1">
        <w:rPr>
          <w:rFonts w:cs="Arial"/>
          <w:sz w:val="20"/>
          <w:szCs w:val="20"/>
          <w:u w:val="single"/>
        </w:rPr>
        <w:t>:</w:t>
      </w:r>
      <w:r w:rsidR="00265984">
        <w:rPr>
          <w:rFonts w:cs="Arial"/>
          <w:sz w:val="20"/>
          <w:szCs w:val="20"/>
        </w:rPr>
        <w:t xml:space="preserve"> </w:t>
      </w:r>
      <w:r w:rsidR="007E38C3" w:rsidRPr="00F47BE6">
        <w:rPr>
          <w:rFonts w:cs="Arial"/>
          <w:sz w:val="20"/>
          <w:szCs w:val="20"/>
        </w:rPr>
        <w:t xml:space="preserve">We conducted a qualitative co-design study using focus groups and iterative prototyping to elicit patient perspectives and refine longitudinal PROM displays for breast cancer decision aids. Focus groups were held in July and August 2025 with breast cancer survivors at least </w:t>
      </w:r>
      <w:proofErr w:type="gramStart"/>
      <w:r w:rsidR="007E38C3" w:rsidRPr="00F47BE6">
        <w:rPr>
          <w:rFonts w:cs="Arial"/>
          <w:sz w:val="20"/>
          <w:szCs w:val="20"/>
        </w:rPr>
        <w:t>one year</w:t>
      </w:r>
      <w:proofErr w:type="gramEnd"/>
      <w:r w:rsidR="007E38C3" w:rsidRPr="00F47BE6">
        <w:rPr>
          <w:rFonts w:cs="Arial"/>
          <w:sz w:val="20"/>
          <w:szCs w:val="20"/>
        </w:rPr>
        <w:t xml:space="preserve"> post-surgery. Example displays were created from four BREAST-Q domains: Breast Satisfaction, Chest Comfort, Psychosocial Well-Being, and Sexual Well-Being. Qualitative analysis occurred concurrently with co-design, thematic development, and preference ranking, using light-touch thematic mapping to capture recurring ideas and preferences.</w:t>
      </w:r>
      <w:r w:rsidR="007E38C3" w:rsidRPr="00F47BE6">
        <w:rPr>
          <w:rFonts w:cs="Arial"/>
          <w:sz w:val="20"/>
          <w:szCs w:val="20"/>
        </w:rPr>
        <w:br/>
      </w:r>
      <w:r w:rsidR="007E38C3" w:rsidRPr="00751DA1">
        <w:rPr>
          <w:rFonts w:cs="Arial"/>
          <w:sz w:val="20"/>
          <w:szCs w:val="20"/>
          <w:u w:val="single"/>
        </w:rPr>
        <w:t>Results</w:t>
      </w:r>
      <w:r w:rsidR="00265984" w:rsidRPr="00751DA1">
        <w:rPr>
          <w:rFonts w:cs="Arial"/>
          <w:sz w:val="20"/>
          <w:szCs w:val="20"/>
          <w:u w:val="single"/>
        </w:rPr>
        <w:t>:</w:t>
      </w:r>
      <w:r w:rsidR="00265984">
        <w:rPr>
          <w:rFonts w:cs="Arial"/>
          <w:sz w:val="20"/>
          <w:szCs w:val="20"/>
        </w:rPr>
        <w:t xml:space="preserve"> </w:t>
      </w:r>
      <w:r w:rsidR="007E38C3" w:rsidRPr="00F47BE6">
        <w:rPr>
          <w:rFonts w:cs="Arial"/>
          <w:sz w:val="20"/>
          <w:szCs w:val="20"/>
        </w:rPr>
        <w:t>Four 90-minute focus groups included 18 participants (mean age 71.8 ± 10 years; 72.2% White; 72.2% unilateral lumpectomy). Participants preferred simple numerical representations, line graphs with time-interval markers, and digestible graphics using colors with recognizable meanings, like speedometer or stoplight visuals. They emphasized seeing the predicted QoL journey over time, including fluctuations, rather than static snapshots, and expressed interest in data stratified by diagnosis and treatment variables and extending beyond one year.</w:t>
      </w:r>
      <w:r w:rsidR="007E38C3" w:rsidRPr="00F47BE6">
        <w:rPr>
          <w:rFonts w:cs="Arial"/>
          <w:sz w:val="20"/>
          <w:szCs w:val="20"/>
        </w:rPr>
        <w:br/>
      </w:r>
      <w:r w:rsidR="007E38C3" w:rsidRPr="00751DA1">
        <w:rPr>
          <w:rFonts w:cs="Arial"/>
          <w:sz w:val="20"/>
          <w:szCs w:val="20"/>
          <w:u w:val="single"/>
        </w:rPr>
        <w:t>Conclusion</w:t>
      </w:r>
      <w:r w:rsidR="00265984" w:rsidRPr="00751DA1">
        <w:rPr>
          <w:rFonts w:cs="Arial"/>
          <w:sz w:val="20"/>
          <w:szCs w:val="20"/>
          <w:u w:val="single"/>
        </w:rPr>
        <w:t>:</w:t>
      </w:r>
      <w:r w:rsidR="00265984">
        <w:rPr>
          <w:rFonts w:cs="Arial"/>
          <w:sz w:val="20"/>
          <w:szCs w:val="20"/>
        </w:rPr>
        <w:t xml:space="preserve"> </w:t>
      </w:r>
      <w:r w:rsidR="007E38C3" w:rsidRPr="00F47BE6">
        <w:rPr>
          <w:rFonts w:cs="Arial"/>
          <w:sz w:val="20"/>
          <w:szCs w:val="20"/>
        </w:rPr>
        <w:t>Patients prefer simple, personalized, actionable PROM displays reflecting the non-linear nature of recovery. Survivors want tools that help them visualize their QoL trajectory, anticipate challenges, and feel prepared. Integrating survivor-informed visualizations into decision aids can enhance value-aligned decision-making and support patients and caregivers navigating survivorship.</w:t>
      </w:r>
    </w:p>
    <w:p w14:paraId="1FAD8A3E" w14:textId="77777777" w:rsidR="007A7813" w:rsidRDefault="007A7813" w:rsidP="00D36E11">
      <w:pPr>
        <w:spacing w:after="0" w:line="240" w:lineRule="auto"/>
        <w:rPr>
          <w:rFonts w:cs="Arial"/>
          <w:b/>
          <w:sz w:val="20"/>
          <w:szCs w:val="20"/>
        </w:rPr>
      </w:pPr>
    </w:p>
    <w:p w14:paraId="6376DFEB" w14:textId="57ACEA83"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Sarah E Leslie</w:t>
      </w:r>
      <w:r w:rsidR="00DC286E">
        <w:rPr>
          <w:rFonts w:cs="Arial"/>
          <w:sz w:val="20"/>
          <w:szCs w:val="20"/>
        </w:rPr>
        <w:t xml:space="preserve"> (1), </w:t>
      </w:r>
      <w:r w:rsidR="007E38C3" w:rsidRPr="00F47BE6">
        <w:rPr>
          <w:rFonts w:cs="Arial"/>
          <w:sz w:val="20"/>
          <w:szCs w:val="20"/>
        </w:rPr>
        <w:t>Elizabeth O’Brien</w:t>
      </w:r>
      <w:r w:rsidR="00DC286E">
        <w:rPr>
          <w:rFonts w:cs="Arial"/>
          <w:sz w:val="20"/>
          <w:szCs w:val="20"/>
        </w:rPr>
        <w:t xml:space="preserve"> (2), </w:t>
      </w:r>
      <w:r w:rsidR="007E38C3" w:rsidRPr="00F47BE6">
        <w:rPr>
          <w:rFonts w:cs="Arial"/>
          <w:sz w:val="20"/>
          <w:szCs w:val="20"/>
        </w:rPr>
        <w:t xml:space="preserve">Elise Tsai </w:t>
      </w:r>
      <w:r w:rsidR="00DC286E">
        <w:rPr>
          <w:rFonts w:cs="Arial"/>
          <w:sz w:val="20"/>
          <w:szCs w:val="20"/>
        </w:rPr>
        <w:t xml:space="preserve">(1), </w:t>
      </w:r>
      <w:r w:rsidR="007E38C3" w:rsidRPr="00F47BE6">
        <w:rPr>
          <w:rFonts w:cs="Arial"/>
          <w:sz w:val="20"/>
          <w:szCs w:val="20"/>
        </w:rPr>
        <w:t>Gabriella A. Canty</w:t>
      </w:r>
      <w:r w:rsidR="00DC286E">
        <w:rPr>
          <w:rFonts w:cs="Arial"/>
          <w:sz w:val="20"/>
          <w:szCs w:val="20"/>
        </w:rPr>
        <w:t xml:space="preserve"> (3), </w:t>
      </w:r>
      <w:r w:rsidR="007E38C3" w:rsidRPr="00F47BE6">
        <w:rPr>
          <w:rFonts w:cs="Arial"/>
          <w:sz w:val="20"/>
          <w:szCs w:val="20"/>
        </w:rPr>
        <w:t>Madeline Higgins</w:t>
      </w:r>
      <w:r w:rsidR="00DC286E">
        <w:rPr>
          <w:rFonts w:cs="Arial"/>
          <w:sz w:val="20"/>
          <w:szCs w:val="20"/>
        </w:rPr>
        <w:t xml:space="preserve"> (</w:t>
      </w:r>
      <w:r w:rsidR="001C08C5">
        <w:rPr>
          <w:rFonts w:cs="Arial"/>
          <w:sz w:val="20"/>
          <w:szCs w:val="20"/>
        </w:rPr>
        <w:t xml:space="preserve">3), </w:t>
      </w:r>
      <w:r w:rsidR="007E38C3" w:rsidRPr="00F47BE6">
        <w:rPr>
          <w:rFonts w:cs="Arial"/>
          <w:sz w:val="20"/>
          <w:szCs w:val="20"/>
        </w:rPr>
        <w:t>Jakob Durden</w:t>
      </w:r>
      <w:r w:rsidR="001C08C5">
        <w:rPr>
          <w:rFonts w:cs="Arial"/>
          <w:sz w:val="20"/>
          <w:szCs w:val="20"/>
        </w:rPr>
        <w:t xml:space="preserve"> (3), </w:t>
      </w:r>
      <w:r w:rsidR="007E38C3" w:rsidRPr="00F47BE6">
        <w:rPr>
          <w:rFonts w:cs="Arial"/>
          <w:sz w:val="20"/>
          <w:szCs w:val="20"/>
        </w:rPr>
        <w:t>Laura Scherer</w:t>
      </w:r>
      <w:r w:rsidR="001C08C5">
        <w:rPr>
          <w:rFonts w:cs="Arial"/>
          <w:sz w:val="20"/>
          <w:szCs w:val="20"/>
        </w:rPr>
        <w:t xml:space="preserve"> (1), </w:t>
      </w:r>
      <w:r w:rsidR="007E38C3" w:rsidRPr="00F47BE6">
        <w:rPr>
          <w:rFonts w:cs="Arial"/>
          <w:sz w:val="20"/>
          <w:szCs w:val="20"/>
        </w:rPr>
        <w:t>Dan Matlock</w:t>
      </w:r>
      <w:r w:rsidR="001C08C5">
        <w:rPr>
          <w:rFonts w:cs="Arial"/>
          <w:sz w:val="20"/>
          <w:szCs w:val="20"/>
        </w:rPr>
        <w:t xml:space="preserve"> (1), </w:t>
      </w:r>
      <w:r w:rsidR="007E38C3" w:rsidRPr="00F47BE6">
        <w:rPr>
          <w:rFonts w:cs="Arial"/>
          <w:sz w:val="20"/>
          <w:szCs w:val="20"/>
        </w:rPr>
        <w:t>Sarah E Tevis</w:t>
      </w:r>
      <w:r w:rsidR="008B1BE9">
        <w:rPr>
          <w:rFonts w:cs="Arial"/>
          <w:sz w:val="20"/>
          <w:szCs w:val="20"/>
        </w:rPr>
        <w:t xml:space="preserve"> (1,3)</w:t>
      </w:r>
    </w:p>
    <w:p w14:paraId="2EC0F98C" w14:textId="77777777" w:rsidR="007A7813" w:rsidRDefault="007A7813" w:rsidP="00D36E11">
      <w:pPr>
        <w:spacing w:after="0" w:line="240" w:lineRule="auto"/>
        <w:rPr>
          <w:rFonts w:cs="Arial"/>
          <w:sz w:val="20"/>
          <w:szCs w:val="20"/>
        </w:rPr>
      </w:pPr>
    </w:p>
    <w:p w14:paraId="1C0873B6" w14:textId="77777777" w:rsidR="00A83530" w:rsidRDefault="00DC286E" w:rsidP="00D36E11">
      <w:pPr>
        <w:spacing w:after="0" w:line="240" w:lineRule="auto"/>
        <w:rPr>
          <w:rFonts w:cs="Arial"/>
          <w:sz w:val="20"/>
          <w:szCs w:val="20"/>
        </w:rPr>
      </w:pPr>
      <w:r w:rsidRPr="00A83530">
        <w:rPr>
          <w:rFonts w:cs="Arial"/>
          <w:sz w:val="20"/>
          <w:szCs w:val="20"/>
        </w:rPr>
        <w:t>(1) Adult and Child Center for Outcomes Research and Delivery Science (</w:t>
      </w:r>
      <w:r w:rsidRPr="00F47BE6">
        <w:rPr>
          <w:rFonts w:cs="Arial"/>
          <w:sz w:val="20"/>
          <w:szCs w:val="20"/>
        </w:rPr>
        <w:t>ACCORDS</w:t>
      </w:r>
      <w:r w:rsidRPr="00A83530">
        <w:rPr>
          <w:rFonts w:cs="Arial"/>
          <w:sz w:val="20"/>
          <w:szCs w:val="20"/>
        </w:rPr>
        <w:t>)</w:t>
      </w:r>
      <w:r w:rsidRPr="00F47BE6">
        <w:rPr>
          <w:rFonts w:cs="Arial"/>
          <w:sz w:val="20"/>
          <w:szCs w:val="20"/>
        </w:rPr>
        <w:t>, University of Colorado Anschutz</w:t>
      </w:r>
    </w:p>
    <w:p w14:paraId="08947A40" w14:textId="2978D823" w:rsidR="00DC286E" w:rsidRPr="00A83530" w:rsidRDefault="00DC286E" w:rsidP="00D36E11">
      <w:pPr>
        <w:spacing w:after="0" w:line="240" w:lineRule="auto"/>
        <w:rPr>
          <w:rFonts w:cs="Arial"/>
          <w:sz w:val="20"/>
          <w:szCs w:val="20"/>
        </w:rPr>
      </w:pPr>
      <w:r w:rsidRPr="00A83530">
        <w:rPr>
          <w:rFonts w:cs="Arial"/>
          <w:sz w:val="20"/>
          <w:szCs w:val="20"/>
        </w:rPr>
        <w:t xml:space="preserve">(2) </w:t>
      </w:r>
      <w:r w:rsidRPr="00F47BE6">
        <w:rPr>
          <w:rFonts w:cs="Arial"/>
          <w:sz w:val="20"/>
          <w:szCs w:val="20"/>
        </w:rPr>
        <w:t>Quinnipiac University Frank H. Netter MD School of Medicine</w:t>
      </w:r>
      <w:r w:rsidRPr="00F47BE6">
        <w:rPr>
          <w:rFonts w:cs="Arial"/>
          <w:sz w:val="20"/>
          <w:szCs w:val="20"/>
        </w:rPr>
        <w:br/>
      </w:r>
      <w:r w:rsidRPr="00A83530">
        <w:rPr>
          <w:rFonts w:cs="Arial"/>
          <w:sz w:val="20"/>
          <w:szCs w:val="20"/>
        </w:rPr>
        <w:t xml:space="preserve">(3) </w:t>
      </w:r>
      <w:r w:rsidRPr="00F47BE6">
        <w:rPr>
          <w:rFonts w:cs="Arial"/>
          <w:sz w:val="20"/>
          <w:szCs w:val="20"/>
        </w:rPr>
        <w:t>Department of Surgery, University of Colorado Anschutz</w:t>
      </w:r>
    </w:p>
    <w:p w14:paraId="62791FF9" w14:textId="77777777" w:rsidR="00002CD7" w:rsidRDefault="00002CD7" w:rsidP="00D36E11">
      <w:pPr>
        <w:spacing w:after="0" w:line="240" w:lineRule="auto"/>
        <w:rPr>
          <w:rFonts w:cs="Arial"/>
          <w:sz w:val="20"/>
          <w:szCs w:val="20"/>
        </w:rPr>
      </w:pPr>
    </w:p>
    <w:p w14:paraId="6C9ED399" w14:textId="77777777" w:rsidR="007A7813" w:rsidRPr="00F47BE6" w:rsidRDefault="007A7813" w:rsidP="00D36E11">
      <w:pPr>
        <w:spacing w:after="0" w:line="240" w:lineRule="auto"/>
        <w:rPr>
          <w:rFonts w:cs="Arial"/>
          <w:sz w:val="20"/>
          <w:szCs w:val="20"/>
        </w:rPr>
      </w:pPr>
    </w:p>
    <w:p w14:paraId="28D4FA2B" w14:textId="7F8021AB" w:rsidR="00002CD7" w:rsidRPr="00D36E11" w:rsidRDefault="0090339C" w:rsidP="00D36E11">
      <w:pPr>
        <w:spacing w:after="0" w:line="240" w:lineRule="auto"/>
        <w:rPr>
          <w:rFonts w:cs="Arial"/>
          <w:sz w:val="20"/>
          <w:szCs w:val="20"/>
          <w:u w:val="single"/>
        </w:rPr>
      </w:pPr>
      <w:r>
        <w:rPr>
          <w:rFonts w:cs="Arial"/>
          <w:b/>
          <w:sz w:val="20"/>
          <w:szCs w:val="20"/>
          <w:u w:val="single"/>
        </w:rPr>
        <w:t xml:space="preserve">25. </w:t>
      </w:r>
      <w:r w:rsidR="007E38C3" w:rsidRPr="00D36E11">
        <w:rPr>
          <w:rFonts w:cs="Arial"/>
          <w:b/>
          <w:sz w:val="20"/>
          <w:szCs w:val="20"/>
          <w:u w:val="single"/>
        </w:rPr>
        <w:t>Patient and Care Partner Perspectives in Inter-hospital Transfers: A Qualitative Study</w:t>
      </w:r>
    </w:p>
    <w:p w14:paraId="2B64448D" w14:textId="77777777" w:rsidR="00B166BB" w:rsidRDefault="00B166BB" w:rsidP="00D36E11">
      <w:pPr>
        <w:spacing w:after="0" w:line="240" w:lineRule="auto"/>
        <w:rPr>
          <w:rFonts w:cs="Arial"/>
          <w:b/>
          <w:sz w:val="20"/>
          <w:szCs w:val="20"/>
        </w:rPr>
      </w:pPr>
    </w:p>
    <w:p w14:paraId="0D8E17C5" w14:textId="64083EF6" w:rsidR="00002CD7" w:rsidRPr="00F47BE6" w:rsidRDefault="007E38C3" w:rsidP="00D36E11">
      <w:pPr>
        <w:spacing w:after="0" w:line="240" w:lineRule="auto"/>
        <w:rPr>
          <w:rFonts w:cs="Arial"/>
          <w:sz w:val="20"/>
          <w:szCs w:val="20"/>
        </w:rPr>
      </w:pPr>
      <w:proofErr w:type="gramStart"/>
      <w:r w:rsidRPr="00F47BE6">
        <w:rPr>
          <w:rFonts w:cs="Arial"/>
          <w:b/>
          <w:sz w:val="20"/>
          <w:szCs w:val="20"/>
        </w:rPr>
        <w:t>Presenting Author</w:t>
      </w:r>
      <w:proofErr w:type="gramEnd"/>
      <w:r w:rsidRPr="00F47BE6">
        <w:rPr>
          <w:rFonts w:cs="Arial"/>
          <w:b/>
          <w:sz w:val="20"/>
          <w:szCs w:val="20"/>
        </w:rPr>
        <w:t xml:space="preserve">: </w:t>
      </w:r>
      <w:r w:rsidRPr="00F47BE6">
        <w:rPr>
          <w:rFonts w:cs="Arial"/>
          <w:sz w:val="20"/>
          <w:szCs w:val="20"/>
        </w:rPr>
        <w:t>Amy Yu, University of Colorado School of Medicine</w:t>
      </w:r>
    </w:p>
    <w:p w14:paraId="533845C5" w14:textId="77777777" w:rsidR="00B166BB" w:rsidRDefault="00B166BB" w:rsidP="00D36E11">
      <w:pPr>
        <w:spacing w:after="0" w:line="240" w:lineRule="auto"/>
        <w:rPr>
          <w:rFonts w:cs="Arial"/>
          <w:sz w:val="20"/>
          <w:szCs w:val="20"/>
        </w:rPr>
      </w:pPr>
    </w:p>
    <w:p w14:paraId="1F32935F" w14:textId="6D0B523E" w:rsidR="00002CD7" w:rsidRPr="00F47BE6" w:rsidRDefault="00B166BB" w:rsidP="00D36E11">
      <w:pPr>
        <w:spacing w:after="0" w:line="240" w:lineRule="auto"/>
        <w:rPr>
          <w:rFonts w:cs="Arial"/>
          <w:sz w:val="20"/>
          <w:szCs w:val="20"/>
        </w:rPr>
      </w:pPr>
      <w:r w:rsidRPr="00D36E11">
        <w:rPr>
          <w:rFonts w:cs="Arial"/>
          <w:sz w:val="20"/>
          <w:szCs w:val="20"/>
          <w:u w:val="single"/>
        </w:rPr>
        <w:t>Background:</w:t>
      </w:r>
      <w:r>
        <w:rPr>
          <w:rFonts w:cs="Arial"/>
          <w:sz w:val="20"/>
          <w:szCs w:val="20"/>
        </w:rPr>
        <w:t xml:space="preserve"> </w:t>
      </w:r>
      <w:r w:rsidR="007E38C3" w:rsidRPr="00F47BE6">
        <w:rPr>
          <w:rFonts w:cs="Arial"/>
          <w:sz w:val="20"/>
          <w:szCs w:val="20"/>
        </w:rPr>
        <w:t>Inter-hospital transfer (IHT), the transfer of patients between acute care hospitals, is independently associated with higher mortality and longer lengths of stay. Despite these risks, best practices for IHT care coordination remain limited. This study characterizes patient and care partner experiences during IHT to inform patient-centered IHT care delivery.</w:t>
      </w:r>
      <w:r w:rsidR="007E38C3" w:rsidRPr="00F47BE6">
        <w:rPr>
          <w:rFonts w:cs="Arial"/>
          <w:sz w:val="20"/>
          <w:szCs w:val="20"/>
        </w:rPr>
        <w:br/>
      </w:r>
      <w:r w:rsidRPr="00D36E11">
        <w:rPr>
          <w:rFonts w:cs="Arial"/>
          <w:sz w:val="20"/>
          <w:szCs w:val="20"/>
          <w:u w:val="single"/>
        </w:rPr>
        <w:lastRenderedPageBreak/>
        <w:t>Methods:</w:t>
      </w:r>
      <w:r>
        <w:rPr>
          <w:rFonts w:cs="Arial"/>
          <w:sz w:val="20"/>
          <w:szCs w:val="20"/>
        </w:rPr>
        <w:t xml:space="preserve"> </w:t>
      </w:r>
      <w:r w:rsidR="007E38C3" w:rsidRPr="00F47BE6">
        <w:rPr>
          <w:rFonts w:cs="Arial"/>
          <w:sz w:val="20"/>
          <w:szCs w:val="20"/>
        </w:rPr>
        <w:t xml:space="preserve">We conducted semi-structured interviews from 11/2024-12/2024 with adults and their care partners transferred to medicine teams at an academic quaternary care hospital. We applied inductive and deductive coding and performed thematic analysis until thematic saturation was achieved. </w:t>
      </w:r>
      <w:r w:rsidR="007E38C3" w:rsidRPr="00F47BE6">
        <w:rPr>
          <w:rFonts w:cs="Arial"/>
          <w:sz w:val="20"/>
          <w:szCs w:val="20"/>
        </w:rPr>
        <w:br/>
      </w:r>
      <w:r w:rsidRPr="00D36E11">
        <w:rPr>
          <w:rFonts w:cs="Arial"/>
          <w:sz w:val="20"/>
          <w:szCs w:val="20"/>
          <w:u w:val="single"/>
        </w:rPr>
        <w:t>Results:</w:t>
      </w:r>
      <w:r>
        <w:rPr>
          <w:rFonts w:cs="Arial"/>
          <w:sz w:val="20"/>
          <w:szCs w:val="20"/>
        </w:rPr>
        <w:t xml:space="preserve"> </w:t>
      </w:r>
      <w:r w:rsidR="007E38C3" w:rsidRPr="00F47BE6">
        <w:rPr>
          <w:rFonts w:cs="Arial"/>
          <w:sz w:val="20"/>
          <w:szCs w:val="20"/>
        </w:rPr>
        <w:t>We interviewed 14 patients and 12 care partners (n=26), of which 23% resided in the accepting hospital’s metroplex, 42% elsewhere in the state, and 35% out of state. Eight (57%) patients were male and six (43%) were aged 40-64 years. Among care partners, 75% were female and half were aged 65-69 years. IHT experiences spanned three timeframes:</w:t>
      </w:r>
      <w:r w:rsidR="00D36E11">
        <w:rPr>
          <w:rFonts w:cs="Arial"/>
          <w:sz w:val="20"/>
          <w:szCs w:val="20"/>
        </w:rPr>
        <w:t xml:space="preserve"> </w:t>
      </w:r>
      <w:r w:rsidR="007E38C3" w:rsidRPr="00F47BE6">
        <w:rPr>
          <w:rFonts w:cs="Arial"/>
          <w:sz w:val="20"/>
          <w:szCs w:val="20"/>
        </w:rPr>
        <w:t>Pre-transfer: Transfer decisions were often framed as medical necessities rather than shared decisions. While reasons for transfer were often clear, transportation and timing details were vague. During transport: Patients reported positive experiences with transport teams. Care partners faced challenges managing travel logistics and household responsibilities.</w:t>
      </w:r>
      <w:r w:rsidR="00D36E11">
        <w:rPr>
          <w:rFonts w:cs="Arial"/>
          <w:sz w:val="20"/>
          <w:szCs w:val="20"/>
        </w:rPr>
        <w:t xml:space="preserve"> </w:t>
      </w:r>
      <w:r w:rsidR="007E38C3" w:rsidRPr="00F47BE6">
        <w:rPr>
          <w:rFonts w:cs="Arial"/>
          <w:sz w:val="20"/>
          <w:szCs w:val="20"/>
        </w:rPr>
        <w:t>Post-transfer: Arrival experiences varied. Communication about care plans, medications, and procedures was inconsistent. For patients with cognitive impairment, care partners’ physical presence was essential for care coordination. Overall, participants appreciated that transfers advanced patient care. Patients were often responsible for updating care partners, and prior hospitalization or transfer experience improved preparedness.</w:t>
      </w:r>
      <w:r w:rsidR="007E38C3" w:rsidRPr="00F47BE6">
        <w:rPr>
          <w:rFonts w:cs="Arial"/>
          <w:sz w:val="20"/>
          <w:szCs w:val="20"/>
        </w:rPr>
        <w:br/>
        <w:t>Suggested improvements included clearer transfer timeframes, clinician updates to care partners, care partner logistical support, and improved communication between clinical teams.</w:t>
      </w:r>
      <w:r w:rsidR="007E38C3" w:rsidRPr="00F47BE6">
        <w:rPr>
          <w:rFonts w:cs="Arial"/>
          <w:sz w:val="20"/>
          <w:szCs w:val="20"/>
        </w:rPr>
        <w:br/>
      </w:r>
      <w:r w:rsidR="00D36E11" w:rsidRPr="00D36E11">
        <w:rPr>
          <w:rFonts w:cs="Arial"/>
          <w:sz w:val="20"/>
          <w:szCs w:val="20"/>
          <w:u w:val="single"/>
        </w:rPr>
        <w:t>Conclusions:</w:t>
      </w:r>
      <w:r w:rsidR="00D36E11">
        <w:rPr>
          <w:rFonts w:cs="Arial"/>
          <w:sz w:val="20"/>
          <w:szCs w:val="20"/>
        </w:rPr>
        <w:t xml:space="preserve"> </w:t>
      </w:r>
      <w:r w:rsidR="007E38C3" w:rsidRPr="00F47BE6">
        <w:rPr>
          <w:rFonts w:cs="Arial"/>
          <w:sz w:val="20"/>
          <w:szCs w:val="20"/>
        </w:rPr>
        <w:t>Patients and care partners valued transfers that progressed care, but experiences with communication and logistical support varied. Patient-centered IHT care should include timely transfer updates, care partner support, and clear communication involving patients and care partners.</w:t>
      </w:r>
    </w:p>
    <w:p w14:paraId="64FC1FBC" w14:textId="77777777" w:rsidR="00D36E11" w:rsidRDefault="00D36E11" w:rsidP="00D36E11">
      <w:pPr>
        <w:spacing w:after="0" w:line="240" w:lineRule="auto"/>
        <w:rPr>
          <w:rFonts w:cs="Arial"/>
          <w:b/>
          <w:sz w:val="20"/>
          <w:szCs w:val="20"/>
        </w:rPr>
      </w:pPr>
    </w:p>
    <w:p w14:paraId="724C5CD4" w14:textId="665EFC26" w:rsidR="00002CD7" w:rsidRPr="00F47BE6"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Amy Yu, MD, Claire Westcott, PA-C, Sarah Mann, MA, Lauren McBeth, BA, Evangeline Grobbel, MPH, Jessica Dekhytar, MD, Stephanie K. Mueller, MD, MPH, Christine D. Jones, MD, MS, Hillary Lum, MD, PhD</w:t>
      </w:r>
    </w:p>
    <w:p w14:paraId="07271F4C" w14:textId="77777777" w:rsidR="00807EB4" w:rsidRDefault="00807EB4" w:rsidP="00D36E11">
      <w:pPr>
        <w:spacing w:after="0" w:line="240" w:lineRule="auto"/>
        <w:rPr>
          <w:rFonts w:cs="Arial"/>
          <w:b/>
          <w:sz w:val="20"/>
          <w:szCs w:val="20"/>
          <w:u w:val="single"/>
        </w:rPr>
      </w:pPr>
    </w:p>
    <w:p w14:paraId="2886E7A4" w14:textId="77777777" w:rsidR="00807EB4" w:rsidRDefault="00807EB4" w:rsidP="00D36E11">
      <w:pPr>
        <w:spacing w:after="0" w:line="240" w:lineRule="auto"/>
        <w:rPr>
          <w:rFonts w:cs="Arial"/>
          <w:b/>
          <w:sz w:val="20"/>
          <w:szCs w:val="20"/>
          <w:u w:val="single"/>
        </w:rPr>
      </w:pPr>
    </w:p>
    <w:p w14:paraId="7535F1A6" w14:textId="48ADA2D0" w:rsidR="00002CD7" w:rsidRPr="006266B1" w:rsidRDefault="00965024" w:rsidP="00D36E11">
      <w:pPr>
        <w:spacing w:after="0" w:line="240" w:lineRule="auto"/>
        <w:rPr>
          <w:rFonts w:cs="Arial"/>
          <w:sz w:val="20"/>
          <w:szCs w:val="20"/>
          <w:u w:val="single"/>
        </w:rPr>
      </w:pPr>
      <w:r>
        <w:rPr>
          <w:rFonts w:cs="Arial"/>
          <w:b/>
          <w:sz w:val="20"/>
          <w:szCs w:val="20"/>
          <w:u w:val="single"/>
        </w:rPr>
        <w:t xml:space="preserve">26. </w:t>
      </w:r>
      <w:r w:rsidR="007E38C3" w:rsidRPr="006266B1">
        <w:rPr>
          <w:rFonts w:cs="Arial"/>
          <w:b/>
          <w:sz w:val="20"/>
          <w:szCs w:val="20"/>
          <w:u w:val="single"/>
        </w:rPr>
        <w:t>Exploring The Lived Experience of Primary and Preventive Care for Adults with Cerebral Palsy: A Qualitative Study</w:t>
      </w:r>
    </w:p>
    <w:p w14:paraId="60F2DB35" w14:textId="77777777" w:rsidR="006266B1" w:rsidRDefault="006266B1" w:rsidP="00D36E11">
      <w:pPr>
        <w:spacing w:after="0" w:line="240" w:lineRule="auto"/>
        <w:rPr>
          <w:rFonts w:cs="Arial"/>
          <w:b/>
          <w:sz w:val="20"/>
          <w:szCs w:val="20"/>
        </w:rPr>
      </w:pPr>
    </w:p>
    <w:p w14:paraId="318454A2" w14:textId="33FF3722"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Cristina Sarmiento, University of Colorado School of Medicine, Children's Hospital Colorado, UCHealth</w:t>
      </w:r>
    </w:p>
    <w:p w14:paraId="5839AF96" w14:textId="77777777" w:rsidR="006266B1" w:rsidRDefault="006266B1" w:rsidP="00D36E11">
      <w:pPr>
        <w:spacing w:after="0" w:line="240" w:lineRule="auto"/>
        <w:rPr>
          <w:rFonts w:cs="Arial"/>
          <w:sz w:val="20"/>
          <w:szCs w:val="20"/>
        </w:rPr>
      </w:pPr>
    </w:p>
    <w:p w14:paraId="3CAF90E9" w14:textId="4CE0CDD2" w:rsidR="00002CD7" w:rsidRPr="00F47BE6" w:rsidRDefault="007E38C3" w:rsidP="00D36E11">
      <w:pPr>
        <w:spacing w:after="0" w:line="240" w:lineRule="auto"/>
        <w:rPr>
          <w:rFonts w:cs="Arial"/>
          <w:sz w:val="20"/>
          <w:szCs w:val="20"/>
        </w:rPr>
      </w:pPr>
      <w:r w:rsidRPr="006266B1">
        <w:rPr>
          <w:rFonts w:cs="Arial"/>
          <w:sz w:val="20"/>
          <w:szCs w:val="20"/>
          <w:u w:val="single"/>
        </w:rPr>
        <w:t>Background:</w:t>
      </w:r>
      <w:r w:rsidRPr="00F47BE6">
        <w:rPr>
          <w:rFonts w:cs="Arial"/>
          <w:sz w:val="20"/>
          <w:szCs w:val="20"/>
        </w:rPr>
        <w:t xml:space="preserve"> Adults with cerebral palsy (CP) have a higher risk of more chronic conditions and at earlier ages compared to the general population. Primary care and preventive screenings can help identify and manage these conditions. However, adults with CP often experience </w:t>
      </w:r>
      <w:proofErr w:type="gramStart"/>
      <w:r w:rsidRPr="00F47BE6">
        <w:rPr>
          <w:rFonts w:cs="Arial"/>
          <w:sz w:val="20"/>
          <w:szCs w:val="20"/>
        </w:rPr>
        <w:t>challenges</w:t>
      </w:r>
      <w:proofErr w:type="gramEnd"/>
      <w:r w:rsidRPr="00F47BE6">
        <w:rPr>
          <w:rFonts w:cs="Arial"/>
          <w:sz w:val="20"/>
          <w:szCs w:val="20"/>
        </w:rPr>
        <w:t xml:space="preserve"> accessing healthcare. Our study sought to understand the experience of receiving primary and preventive care for adults with CP.</w:t>
      </w:r>
      <w:r w:rsidRPr="00F47BE6">
        <w:rPr>
          <w:rFonts w:cs="Arial"/>
          <w:sz w:val="20"/>
          <w:szCs w:val="20"/>
        </w:rPr>
        <w:br/>
      </w:r>
      <w:r w:rsidRPr="006266B1">
        <w:rPr>
          <w:rFonts w:cs="Arial"/>
          <w:sz w:val="20"/>
          <w:szCs w:val="20"/>
          <w:u w:val="single"/>
        </w:rPr>
        <w:t>Methods:</w:t>
      </w:r>
      <w:r w:rsidRPr="00F47BE6">
        <w:rPr>
          <w:rFonts w:cs="Arial"/>
          <w:sz w:val="20"/>
          <w:szCs w:val="20"/>
        </w:rPr>
        <w:t xml:space="preserve"> Using qualitative methodology, we conducted focus groups with adults with CP and caregivers. Using thematic analysis, we inductively coded focus group transcripts, then reviewed and summarized quotations to identify salient themes.</w:t>
      </w:r>
      <w:r w:rsidRPr="00F47BE6">
        <w:rPr>
          <w:rFonts w:cs="Arial"/>
          <w:sz w:val="20"/>
          <w:szCs w:val="20"/>
        </w:rPr>
        <w:br/>
      </w:r>
      <w:r w:rsidRPr="006266B1">
        <w:rPr>
          <w:rFonts w:cs="Arial"/>
          <w:sz w:val="20"/>
          <w:szCs w:val="20"/>
          <w:u w:val="single"/>
        </w:rPr>
        <w:t>Results:</w:t>
      </w:r>
      <w:r w:rsidRPr="00F47BE6">
        <w:rPr>
          <w:rFonts w:cs="Arial"/>
          <w:sz w:val="20"/>
          <w:szCs w:val="20"/>
        </w:rPr>
        <w:t xml:space="preserve"> We conducted 4 focus groups (2 with adults with CP; 2 with caregivers; 19 total participants). Participants described varied relationships with their primary care providers (PCPs), with some feeling very well supported; others feeling neutral towards their PCPs; and some having negative experiences with PCPs. We identified three themes related to their primary care experiences: 1) Many PCPs do not understand the specific needs, risk factors, and heterogeneity of adults with CP; 2) Discussions regarding preventive screenings varied in terms of quality and quantity; and 3) Health system accessibility as a whole is critical in ensuring appropriate preventive care.</w:t>
      </w:r>
      <w:r w:rsidRPr="00F47BE6">
        <w:rPr>
          <w:rFonts w:cs="Arial"/>
          <w:sz w:val="20"/>
          <w:szCs w:val="20"/>
        </w:rPr>
        <w:br/>
      </w:r>
      <w:r w:rsidRPr="006266B1">
        <w:rPr>
          <w:rFonts w:cs="Arial"/>
          <w:sz w:val="20"/>
          <w:szCs w:val="20"/>
          <w:u w:val="single"/>
        </w:rPr>
        <w:t>Discussion/Conclusions:</w:t>
      </w:r>
      <w:r w:rsidRPr="00F47BE6">
        <w:rPr>
          <w:rFonts w:cs="Arial"/>
          <w:sz w:val="20"/>
          <w:szCs w:val="20"/>
        </w:rPr>
        <w:t xml:space="preserve"> Adults with CP require comprehensive preventive care and yet face myriad barriers in accessing this care. Supporting adults with CP, caregivers, and PCPs through CP-specific education and guidance and identifying opportunities for improving health system accessibility can help to promote more person-centered, informed primary care.</w:t>
      </w:r>
    </w:p>
    <w:p w14:paraId="57DDA3E1" w14:textId="77777777" w:rsidR="006266B1" w:rsidRDefault="006266B1" w:rsidP="00D36E11">
      <w:pPr>
        <w:spacing w:after="0" w:line="240" w:lineRule="auto"/>
        <w:rPr>
          <w:rFonts w:cs="Arial"/>
          <w:b/>
          <w:sz w:val="20"/>
          <w:szCs w:val="20"/>
        </w:rPr>
      </w:pPr>
    </w:p>
    <w:p w14:paraId="36570E1E" w14:textId="29643E2E"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Cristina A. Sarmiento, MD</w:t>
      </w:r>
      <w:r w:rsidR="006266B1">
        <w:rPr>
          <w:rFonts w:cs="Arial"/>
          <w:sz w:val="20"/>
          <w:szCs w:val="20"/>
        </w:rPr>
        <w:t xml:space="preserve"> (1), </w:t>
      </w:r>
      <w:r w:rsidR="007E38C3" w:rsidRPr="00F47BE6">
        <w:rPr>
          <w:rFonts w:cs="Arial"/>
          <w:sz w:val="20"/>
          <w:szCs w:val="20"/>
        </w:rPr>
        <w:t>Chloe Glaros, MPH, MSW</w:t>
      </w:r>
      <w:r w:rsidR="006266B1">
        <w:rPr>
          <w:rFonts w:cs="Arial"/>
          <w:sz w:val="20"/>
          <w:szCs w:val="20"/>
        </w:rPr>
        <w:t xml:space="preserve"> (1), </w:t>
      </w:r>
      <w:r w:rsidR="007E38C3" w:rsidRPr="00F47BE6">
        <w:rPr>
          <w:rFonts w:cs="Arial"/>
          <w:sz w:val="20"/>
          <w:szCs w:val="20"/>
        </w:rPr>
        <w:t>Edward Hurvitz, MD</w:t>
      </w:r>
      <w:r w:rsidR="006266B1">
        <w:rPr>
          <w:rFonts w:cs="Arial"/>
          <w:sz w:val="20"/>
          <w:szCs w:val="20"/>
        </w:rPr>
        <w:t xml:space="preserve"> (2), </w:t>
      </w:r>
      <w:r w:rsidR="007E38C3" w:rsidRPr="00F47BE6">
        <w:rPr>
          <w:rFonts w:cs="Arial"/>
          <w:sz w:val="20"/>
          <w:szCs w:val="20"/>
        </w:rPr>
        <w:t>Megan Morris, PhD, MPH, CCC-SLP</w:t>
      </w:r>
      <w:r w:rsidR="006266B1">
        <w:rPr>
          <w:rFonts w:cs="Arial"/>
          <w:sz w:val="20"/>
          <w:szCs w:val="20"/>
        </w:rPr>
        <w:t xml:space="preserve"> (3)</w:t>
      </w:r>
    </w:p>
    <w:p w14:paraId="133EA67B" w14:textId="77777777" w:rsidR="006266B1" w:rsidRDefault="006266B1" w:rsidP="00D36E11">
      <w:pPr>
        <w:spacing w:after="0" w:line="240" w:lineRule="auto"/>
        <w:rPr>
          <w:rFonts w:cs="Arial"/>
          <w:sz w:val="20"/>
          <w:szCs w:val="20"/>
        </w:rPr>
      </w:pPr>
    </w:p>
    <w:p w14:paraId="4AC80B18" w14:textId="1EDF0950" w:rsidR="006266B1" w:rsidRPr="00F47BE6" w:rsidRDefault="006266B1" w:rsidP="00D36E11">
      <w:pPr>
        <w:spacing w:after="0" w:line="240" w:lineRule="auto"/>
        <w:rPr>
          <w:rFonts w:cs="Arial"/>
          <w:sz w:val="20"/>
          <w:szCs w:val="20"/>
        </w:rPr>
      </w:pPr>
      <w:r>
        <w:rPr>
          <w:rFonts w:cs="Arial"/>
          <w:sz w:val="20"/>
          <w:szCs w:val="20"/>
        </w:rPr>
        <w:t xml:space="preserve">(1) </w:t>
      </w:r>
      <w:r w:rsidRPr="00F47BE6">
        <w:rPr>
          <w:rFonts w:cs="Arial"/>
          <w:sz w:val="20"/>
          <w:szCs w:val="20"/>
        </w:rPr>
        <w:t>University of Colorado Anschutz School of Medicine</w:t>
      </w:r>
      <w:r w:rsidRPr="00F47BE6">
        <w:rPr>
          <w:rFonts w:cs="Arial"/>
          <w:sz w:val="20"/>
          <w:szCs w:val="20"/>
        </w:rPr>
        <w:br/>
      </w:r>
      <w:r>
        <w:rPr>
          <w:rFonts w:cs="Arial"/>
          <w:sz w:val="20"/>
          <w:szCs w:val="20"/>
        </w:rPr>
        <w:t xml:space="preserve">(2) </w:t>
      </w:r>
      <w:r w:rsidRPr="00F47BE6">
        <w:rPr>
          <w:rFonts w:cs="Arial"/>
          <w:sz w:val="20"/>
          <w:szCs w:val="20"/>
        </w:rPr>
        <w:t>University of Michigan Medical School</w:t>
      </w:r>
      <w:r w:rsidRPr="00F47BE6">
        <w:rPr>
          <w:rFonts w:cs="Arial"/>
          <w:sz w:val="20"/>
          <w:szCs w:val="20"/>
        </w:rPr>
        <w:br/>
      </w:r>
      <w:r>
        <w:rPr>
          <w:rFonts w:cs="Arial"/>
          <w:sz w:val="20"/>
          <w:szCs w:val="20"/>
        </w:rPr>
        <w:t xml:space="preserve">(3) </w:t>
      </w:r>
      <w:r w:rsidRPr="00F47BE6">
        <w:rPr>
          <w:rFonts w:cs="Arial"/>
          <w:sz w:val="20"/>
          <w:szCs w:val="20"/>
        </w:rPr>
        <w:t>New York University Langone Health Grossman School of Medicine</w:t>
      </w:r>
    </w:p>
    <w:p w14:paraId="44C555B6" w14:textId="77777777" w:rsidR="00002CD7" w:rsidRDefault="00002CD7" w:rsidP="00D36E11">
      <w:pPr>
        <w:spacing w:after="0" w:line="240" w:lineRule="auto"/>
        <w:rPr>
          <w:rFonts w:cs="Arial"/>
          <w:sz w:val="20"/>
          <w:szCs w:val="20"/>
        </w:rPr>
      </w:pPr>
    </w:p>
    <w:p w14:paraId="225C8B81" w14:textId="77777777" w:rsidR="006266B1" w:rsidRPr="00F47BE6" w:rsidRDefault="006266B1" w:rsidP="00D36E11">
      <w:pPr>
        <w:spacing w:after="0" w:line="240" w:lineRule="auto"/>
        <w:rPr>
          <w:rFonts w:cs="Arial"/>
          <w:sz w:val="20"/>
          <w:szCs w:val="20"/>
        </w:rPr>
      </w:pPr>
    </w:p>
    <w:p w14:paraId="61760586" w14:textId="7AAA6821" w:rsidR="00002CD7" w:rsidRPr="006266B1" w:rsidRDefault="00965024" w:rsidP="00D36E11">
      <w:pPr>
        <w:spacing w:after="0" w:line="240" w:lineRule="auto"/>
        <w:rPr>
          <w:rFonts w:cs="Arial"/>
          <w:sz w:val="20"/>
          <w:szCs w:val="20"/>
          <w:u w:val="single"/>
        </w:rPr>
      </w:pPr>
      <w:r>
        <w:rPr>
          <w:rFonts w:cs="Arial"/>
          <w:b/>
          <w:sz w:val="20"/>
          <w:szCs w:val="20"/>
          <w:u w:val="single"/>
        </w:rPr>
        <w:t xml:space="preserve">27. </w:t>
      </w:r>
      <w:r w:rsidR="007E38C3" w:rsidRPr="006266B1">
        <w:rPr>
          <w:rFonts w:cs="Arial"/>
          <w:b/>
          <w:sz w:val="20"/>
          <w:szCs w:val="20"/>
          <w:u w:val="single"/>
        </w:rPr>
        <w:t>Primary Care Provider Perspectives on Preventive Care for Adults with Cerebral Palsy: A Qualitative Study</w:t>
      </w:r>
    </w:p>
    <w:p w14:paraId="7ED8CDBE" w14:textId="77777777" w:rsidR="006266B1" w:rsidRDefault="006266B1" w:rsidP="00D36E11">
      <w:pPr>
        <w:spacing w:after="0" w:line="240" w:lineRule="auto"/>
        <w:rPr>
          <w:rFonts w:cs="Arial"/>
          <w:b/>
          <w:sz w:val="20"/>
          <w:szCs w:val="20"/>
        </w:rPr>
      </w:pPr>
    </w:p>
    <w:p w14:paraId="07BEE0CA" w14:textId="0D1878A3" w:rsidR="00002CD7" w:rsidRPr="00F47BE6" w:rsidRDefault="007E38C3" w:rsidP="00D36E11">
      <w:pPr>
        <w:spacing w:after="0" w:line="240" w:lineRule="auto"/>
        <w:rPr>
          <w:rFonts w:cs="Arial"/>
          <w:sz w:val="20"/>
          <w:szCs w:val="20"/>
        </w:rPr>
      </w:pPr>
      <w:r w:rsidRPr="00F47BE6">
        <w:rPr>
          <w:rFonts w:cs="Arial"/>
          <w:b/>
          <w:sz w:val="20"/>
          <w:szCs w:val="20"/>
        </w:rPr>
        <w:lastRenderedPageBreak/>
        <w:t xml:space="preserve">Presenting Author: </w:t>
      </w:r>
      <w:r w:rsidRPr="00F47BE6">
        <w:rPr>
          <w:rFonts w:cs="Arial"/>
          <w:sz w:val="20"/>
          <w:szCs w:val="20"/>
        </w:rPr>
        <w:t>Cristina Sarmiento, University of Colorado School of Medicine, Children's Hospital Colorado, UCHealth</w:t>
      </w:r>
    </w:p>
    <w:p w14:paraId="3AB17833" w14:textId="77777777" w:rsidR="006266B1" w:rsidRDefault="006266B1" w:rsidP="00D36E11">
      <w:pPr>
        <w:spacing w:after="0" w:line="240" w:lineRule="auto"/>
        <w:rPr>
          <w:rFonts w:cs="Arial"/>
          <w:sz w:val="20"/>
          <w:szCs w:val="20"/>
        </w:rPr>
      </w:pPr>
    </w:p>
    <w:p w14:paraId="40C26991" w14:textId="687AADC7" w:rsidR="00002CD7" w:rsidRPr="00F47BE6" w:rsidRDefault="007E38C3" w:rsidP="00D36E11">
      <w:pPr>
        <w:spacing w:after="0" w:line="240" w:lineRule="auto"/>
        <w:rPr>
          <w:rFonts w:cs="Arial"/>
          <w:sz w:val="20"/>
          <w:szCs w:val="20"/>
        </w:rPr>
      </w:pPr>
      <w:r w:rsidRPr="006266B1">
        <w:rPr>
          <w:rFonts w:cs="Arial"/>
          <w:sz w:val="20"/>
          <w:szCs w:val="20"/>
          <w:u w:val="single"/>
        </w:rPr>
        <w:t>Background:</w:t>
      </w:r>
      <w:r w:rsidRPr="00F47BE6">
        <w:rPr>
          <w:rFonts w:cs="Arial"/>
          <w:sz w:val="20"/>
          <w:szCs w:val="20"/>
        </w:rPr>
        <w:t xml:space="preserve"> Adults with cerebral palsy (CP) have a high risk of many chronic conditions and at earlier ages compared to the general population. Early detection and management through comprehensive preventive screening can improve outcomes. However, adults with disabilities often do not receive recommended preventive services. Our study sought to answer the question, What is the experience of providing primary and preventive care to adults with CP?</w:t>
      </w:r>
      <w:r w:rsidRPr="00F47BE6">
        <w:rPr>
          <w:rFonts w:cs="Arial"/>
          <w:sz w:val="20"/>
          <w:szCs w:val="20"/>
        </w:rPr>
        <w:br/>
      </w:r>
      <w:r w:rsidRPr="006266B1">
        <w:rPr>
          <w:rFonts w:cs="Arial"/>
          <w:sz w:val="20"/>
          <w:szCs w:val="20"/>
          <w:u w:val="single"/>
        </w:rPr>
        <w:t>Methods:</w:t>
      </w:r>
      <w:r w:rsidRPr="00F47BE6">
        <w:rPr>
          <w:rFonts w:cs="Arial"/>
          <w:sz w:val="20"/>
          <w:szCs w:val="20"/>
        </w:rPr>
        <w:t xml:space="preserve"> Using qualitative methodology, we conducted interviews with primary care providers (PCPs) whose care includes adults with childhood-onset disabilities, including CP. Using thematic analysis, we inductively coded interview transcripts, then reviewed and summarized quotations to identify salient themes.</w:t>
      </w:r>
      <w:r w:rsidRPr="00F47BE6">
        <w:rPr>
          <w:rFonts w:cs="Arial"/>
          <w:sz w:val="20"/>
          <w:szCs w:val="20"/>
        </w:rPr>
        <w:br/>
      </w:r>
      <w:r w:rsidRPr="006266B1">
        <w:rPr>
          <w:rFonts w:cs="Arial"/>
          <w:sz w:val="20"/>
          <w:szCs w:val="20"/>
          <w:u w:val="single"/>
        </w:rPr>
        <w:t>Results:</w:t>
      </w:r>
      <w:r w:rsidRPr="00F47BE6">
        <w:rPr>
          <w:rFonts w:cs="Arial"/>
          <w:sz w:val="20"/>
          <w:szCs w:val="20"/>
        </w:rPr>
        <w:t xml:space="preserve"> We conducted 21 interviews with PCPs from diverse settings and of varied experience in caring for adults with CP. We identified four themes related to PCPs’ experiences: 1) Discussions regarding preventive screenings must be individualized and use shared decision making; 2) There are unique risk/benefit considerations for adults with CP, particularly if there is co-existing intellectual disability; 3) Even if a screening test is ordered, health system accessibility and provider availability may preclude its completion; and 4) Caregiver involvement often enhances patient care, though requires additional consideration and collaboration.</w:t>
      </w:r>
      <w:r w:rsidRPr="00F47BE6">
        <w:rPr>
          <w:rFonts w:cs="Arial"/>
          <w:sz w:val="20"/>
          <w:szCs w:val="20"/>
        </w:rPr>
        <w:br/>
      </w:r>
      <w:r w:rsidRPr="006266B1">
        <w:rPr>
          <w:rFonts w:cs="Arial"/>
          <w:sz w:val="20"/>
          <w:szCs w:val="20"/>
          <w:u w:val="single"/>
        </w:rPr>
        <w:t>Discussion/Conclusions:</w:t>
      </w:r>
      <w:r w:rsidRPr="00F47BE6">
        <w:rPr>
          <w:rFonts w:cs="Arial"/>
          <w:sz w:val="20"/>
          <w:szCs w:val="20"/>
        </w:rPr>
        <w:t xml:space="preserve"> Providing person-centered preventive care to adults with CP requires unique considerations and individualized discussions. Supporting PCPs with information about the unique needs and risks facing adults with CP and striving to mitigate system-level barriers to care may help to ensure adults with CP receive comprehensive preventive care.</w:t>
      </w:r>
    </w:p>
    <w:p w14:paraId="00D1053A" w14:textId="77777777" w:rsidR="006266B1" w:rsidRDefault="006266B1" w:rsidP="00D36E11">
      <w:pPr>
        <w:spacing w:after="0" w:line="240" w:lineRule="auto"/>
        <w:rPr>
          <w:rFonts w:cs="Arial"/>
          <w:b/>
          <w:sz w:val="20"/>
          <w:szCs w:val="20"/>
        </w:rPr>
      </w:pPr>
    </w:p>
    <w:p w14:paraId="7D58C4C0" w14:textId="7168A167"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6266B1" w:rsidRPr="00F47BE6">
        <w:rPr>
          <w:rFonts w:cs="Arial"/>
          <w:sz w:val="20"/>
          <w:szCs w:val="20"/>
        </w:rPr>
        <w:t>Cristina A. Sarmiento, MD</w:t>
      </w:r>
      <w:r w:rsidR="006266B1">
        <w:rPr>
          <w:rFonts w:cs="Arial"/>
          <w:sz w:val="20"/>
          <w:szCs w:val="20"/>
        </w:rPr>
        <w:t xml:space="preserve"> (1), </w:t>
      </w:r>
      <w:r w:rsidR="006266B1" w:rsidRPr="00F47BE6">
        <w:rPr>
          <w:rFonts w:cs="Arial"/>
          <w:sz w:val="20"/>
          <w:szCs w:val="20"/>
        </w:rPr>
        <w:t>Chloe Glaros, MPH, MSW</w:t>
      </w:r>
      <w:r w:rsidR="006266B1">
        <w:rPr>
          <w:rFonts w:cs="Arial"/>
          <w:sz w:val="20"/>
          <w:szCs w:val="20"/>
        </w:rPr>
        <w:t xml:space="preserve"> (1), </w:t>
      </w:r>
      <w:r w:rsidR="006266B1" w:rsidRPr="00F47BE6">
        <w:rPr>
          <w:rFonts w:cs="Arial"/>
          <w:sz w:val="20"/>
          <w:szCs w:val="20"/>
        </w:rPr>
        <w:t>Edward Hurvitz, MD</w:t>
      </w:r>
      <w:r w:rsidR="006266B1">
        <w:rPr>
          <w:rFonts w:cs="Arial"/>
          <w:sz w:val="20"/>
          <w:szCs w:val="20"/>
        </w:rPr>
        <w:t xml:space="preserve"> (2), </w:t>
      </w:r>
      <w:r w:rsidR="006266B1" w:rsidRPr="00F47BE6">
        <w:rPr>
          <w:rFonts w:cs="Arial"/>
          <w:sz w:val="20"/>
          <w:szCs w:val="20"/>
        </w:rPr>
        <w:t>Megan Morris, PhD, MPH, CCC-SLP</w:t>
      </w:r>
      <w:r w:rsidR="006266B1">
        <w:rPr>
          <w:rFonts w:cs="Arial"/>
          <w:sz w:val="20"/>
          <w:szCs w:val="20"/>
        </w:rPr>
        <w:t xml:space="preserve"> (3)</w:t>
      </w:r>
    </w:p>
    <w:p w14:paraId="64D492A4" w14:textId="77777777" w:rsidR="006266B1" w:rsidRDefault="006266B1" w:rsidP="00D36E11">
      <w:pPr>
        <w:spacing w:after="0" w:line="240" w:lineRule="auto"/>
        <w:rPr>
          <w:rFonts w:cs="Arial"/>
          <w:sz w:val="20"/>
          <w:szCs w:val="20"/>
        </w:rPr>
      </w:pPr>
    </w:p>
    <w:p w14:paraId="18452988" w14:textId="77777777" w:rsidR="006266B1" w:rsidRPr="00F47BE6" w:rsidRDefault="006266B1" w:rsidP="00D36E11">
      <w:pPr>
        <w:spacing w:after="0" w:line="240" w:lineRule="auto"/>
        <w:rPr>
          <w:rFonts w:cs="Arial"/>
          <w:sz w:val="20"/>
          <w:szCs w:val="20"/>
        </w:rPr>
      </w:pPr>
      <w:r>
        <w:rPr>
          <w:rFonts w:cs="Arial"/>
          <w:sz w:val="20"/>
          <w:szCs w:val="20"/>
        </w:rPr>
        <w:t xml:space="preserve">(1) </w:t>
      </w:r>
      <w:r w:rsidRPr="00F47BE6">
        <w:rPr>
          <w:rFonts w:cs="Arial"/>
          <w:sz w:val="20"/>
          <w:szCs w:val="20"/>
        </w:rPr>
        <w:t>University of Colorado Anschutz School of Medicine</w:t>
      </w:r>
      <w:r w:rsidRPr="00F47BE6">
        <w:rPr>
          <w:rFonts w:cs="Arial"/>
          <w:sz w:val="20"/>
          <w:szCs w:val="20"/>
        </w:rPr>
        <w:br/>
      </w:r>
      <w:r>
        <w:rPr>
          <w:rFonts w:cs="Arial"/>
          <w:sz w:val="20"/>
          <w:szCs w:val="20"/>
        </w:rPr>
        <w:t xml:space="preserve">(2) </w:t>
      </w:r>
      <w:r w:rsidRPr="00F47BE6">
        <w:rPr>
          <w:rFonts w:cs="Arial"/>
          <w:sz w:val="20"/>
          <w:szCs w:val="20"/>
        </w:rPr>
        <w:t>University of Michigan Medical School</w:t>
      </w:r>
      <w:r w:rsidRPr="00F47BE6">
        <w:rPr>
          <w:rFonts w:cs="Arial"/>
          <w:sz w:val="20"/>
          <w:szCs w:val="20"/>
        </w:rPr>
        <w:br/>
      </w:r>
      <w:r>
        <w:rPr>
          <w:rFonts w:cs="Arial"/>
          <w:sz w:val="20"/>
          <w:szCs w:val="20"/>
        </w:rPr>
        <w:t xml:space="preserve">(3) </w:t>
      </w:r>
      <w:r w:rsidRPr="00F47BE6">
        <w:rPr>
          <w:rFonts w:cs="Arial"/>
          <w:sz w:val="20"/>
          <w:szCs w:val="20"/>
        </w:rPr>
        <w:t>New York University Langone Health Grossman School of Medicine</w:t>
      </w:r>
    </w:p>
    <w:p w14:paraId="140ED66F" w14:textId="77777777" w:rsidR="006266B1" w:rsidRPr="00F47BE6" w:rsidRDefault="006266B1" w:rsidP="00D36E11">
      <w:pPr>
        <w:spacing w:after="0" w:line="240" w:lineRule="auto"/>
        <w:rPr>
          <w:rFonts w:cs="Arial"/>
          <w:sz w:val="20"/>
          <w:szCs w:val="20"/>
        </w:rPr>
      </w:pPr>
    </w:p>
    <w:p w14:paraId="5180FB3A" w14:textId="77777777" w:rsidR="00002CD7" w:rsidRPr="00F47BE6" w:rsidRDefault="00002CD7" w:rsidP="00D36E11">
      <w:pPr>
        <w:spacing w:after="0" w:line="240" w:lineRule="auto"/>
        <w:rPr>
          <w:rFonts w:cs="Arial"/>
          <w:sz w:val="20"/>
          <w:szCs w:val="20"/>
        </w:rPr>
      </w:pPr>
    </w:p>
    <w:p w14:paraId="78E5038B" w14:textId="760645BC" w:rsidR="00002CD7" w:rsidRPr="00751DA1" w:rsidRDefault="00EC7C87" w:rsidP="00D36E11">
      <w:pPr>
        <w:spacing w:after="0" w:line="240" w:lineRule="auto"/>
        <w:rPr>
          <w:rFonts w:cs="Arial"/>
          <w:sz w:val="20"/>
          <w:szCs w:val="20"/>
          <w:u w:val="single"/>
        </w:rPr>
      </w:pPr>
      <w:r>
        <w:rPr>
          <w:rFonts w:cs="Arial"/>
          <w:b/>
          <w:sz w:val="20"/>
          <w:szCs w:val="20"/>
          <w:u w:val="single"/>
        </w:rPr>
        <w:t xml:space="preserve">28. </w:t>
      </w:r>
      <w:r w:rsidR="007E38C3" w:rsidRPr="00751DA1">
        <w:rPr>
          <w:rFonts w:cs="Arial"/>
          <w:b/>
          <w:sz w:val="20"/>
          <w:szCs w:val="20"/>
          <w:u w:val="single"/>
        </w:rPr>
        <w:t>Can We Prevent the Empty Urodynamics Slot? Predicting UTI-Related Cancellations</w:t>
      </w:r>
    </w:p>
    <w:p w14:paraId="04A5A529" w14:textId="77777777" w:rsidR="00895E88" w:rsidRDefault="00895E88" w:rsidP="00D36E11">
      <w:pPr>
        <w:spacing w:after="0" w:line="240" w:lineRule="auto"/>
        <w:rPr>
          <w:rFonts w:cs="Arial"/>
          <w:b/>
          <w:sz w:val="20"/>
          <w:szCs w:val="20"/>
        </w:rPr>
      </w:pPr>
    </w:p>
    <w:p w14:paraId="04C5D560" w14:textId="7047917F"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Tyler Muffly, Denver Health</w:t>
      </w:r>
    </w:p>
    <w:p w14:paraId="4653B0AB" w14:textId="77777777" w:rsidR="00895E88" w:rsidRDefault="00895E88" w:rsidP="00D36E11">
      <w:pPr>
        <w:spacing w:after="0" w:line="240" w:lineRule="auto"/>
        <w:rPr>
          <w:rFonts w:cs="Arial"/>
          <w:sz w:val="20"/>
          <w:szCs w:val="20"/>
        </w:rPr>
      </w:pPr>
    </w:p>
    <w:p w14:paraId="34976A50" w14:textId="75643701" w:rsidR="00002CD7" w:rsidRPr="00F47BE6" w:rsidRDefault="007E38C3" w:rsidP="00D36E11">
      <w:pPr>
        <w:spacing w:after="0" w:line="240" w:lineRule="auto"/>
        <w:rPr>
          <w:rFonts w:cs="Arial"/>
          <w:sz w:val="20"/>
          <w:szCs w:val="20"/>
        </w:rPr>
      </w:pPr>
      <w:r w:rsidRPr="00895E88">
        <w:rPr>
          <w:rFonts w:cs="Arial"/>
          <w:sz w:val="20"/>
          <w:szCs w:val="20"/>
          <w:u w:val="single"/>
        </w:rPr>
        <w:t>Background</w:t>
      </w:r>
      <w:r w:rsidR="00895E88" w:rsidRPr="00895E88">
        <w:rPr>
          <w:rFonts w:cs="Arial"/>
          <w:sz w:val="20"/>
          <w:szCs w:val="20"/>
          <w:u w:val="single"/>
        </w:rPr>
        <w:t>:</w:t>
      </w:r>
      <w:r w:rsidR="00895E88">
        <w:rPr>
          <w:rFonts w:cs="Arial"/>
          <w:sz w:val="20"/>
          <w:szCs w:val="20"/>
        </w:rPr>
        <w:t xml:space="preserve"> </w:t>
      </w:r>
      <w:r w:rsidRPr="00F47BE6">
        <w:rPr>
          <w:rFonts w:cs="Arial"/>
          <w:sz w:val="20"/>
          <w:szCs w:val="20"/>
        </w:rPr>
        <w:t>Same-day cancellation of urodynamic testing wastes procedure capacity, delays evaluation, and creates additional work for patients and clinics. Urinary tract infection is a common cause, but universal preprocedure testing may add low-value testing and antibiotic exposure. We developed and internally validated a model to identify patients at increased risk of UTI-related cancellation.</w:t>
      </w:r>
      <w:r w:rsidRPr="00F47BE6">
        <w:rPr>
          <w:rFonts w:cs="Arial"/>
          <w:sz w:val="20"/>
          <w:szCs w:val="20"/>
        </w:rPr>
        <w:br/>
      </w:r>
      <w:r w:rsidRPr="00895E88">
        <w:rPr>
          <w:rFonts w:cs="Arial"/>
          <w:sz w:val="20"/>
          <w:szCs w:val="20"/>
          <w:u w:val="single"/>
        </w:rPr>
        <w:t>Methods</w:t>
      </w:r>
      <w:r w:rsidR="00895E88" w:rsidRPr="00895E88">
        <w:rPr>
          <w:rFonts w:cs="Arial"/>
          <w:sz w:val="20"/>
          <w:szCs w:val="20"/>
          <w:u w:val="single"/>
        </w:rPr>
        <w:t>:</w:t>
      </w:r>
      <w:r w:rsidR="00895E88">
        <w:rPr>
          <w:rFonts w:cs="Arial"/>
          <w:sz w:val="20"/>
          <w:szCs w:val="20"/>
        </w:rPr>
        <w:t xml:space="preserve"> </w:t>
      </w:r>
      <w:r w:rsidRPr="00F47BE6">
        <w:rPr>
          <w:rFonts w:cs="Arial"/>
          <w:sz w:val="20"/>
          <w:szCs w:val="20"/>
        </w:rPr>
        <w:t>We conducted a retrospective cohort study of patients scheduled for urodynamic testing at a single academic urogynecology practice from August 2022 through April 2024. Least Absolute Shrinkage and Selection Operator regression with 10-fold cross-validation selected predictors. Model performance was evaluated using discrimination, calibration, Brier score, full-process bootstrap validation, and decision curve analysis. A nomogram and web-based calculator were developed for clinical use.</w:t>
      </w:r>
      <w:r w:rsidRPr="00F47BE6">
        <w:rPr>
          <w:rFonts w:cs="Arial"/>
          <w:sz w:val="20"/>
          <w:szCs w:val="20"/>
        </w:rPr>
        <w:br/>
      </w:r>
      <w:r w:rsidRPr="00895E88">
        <w:rPr>
          <w:rFonts w:cs="Arial"/>
          <w:sz w:val="20"/>
          <w:szCs w:val="20"/>
          <w:u w:val="single"/>
        </w:rPr>
        <w:t>Results</w:t>
      </w:r>
      <w:r w:rsidR="00895E88" w:rsidRPr="00895E88">
        <w:rPr>
          <w:rFonts w:cs="Arial"/>
          <w:sz w:val="20"/>
          <w:szCs w:val="20"/>
          <w:u w:val="single"/>
        </w:rPr>
        <w:t>:</w:t>
      </w:r>
      <w:r w:rsidR="00895E88">
        <w:rPr>
          <w:rFonts w:cs="Arial"/>
          <w:sz w:val="20"/>
          <w:szCs w:val="20"/>
        </w:rPr>
        <w:t xml:space="preserve"> </w:t>
      </w:r>
      <w:r w:rsidRPr="00F47BE6">
        <w:rPr>
          <w:rFonts w:cs="Arial"/>
          <w:sz w:val="20"/>
          <w:szCs w:val="20"/>
        </w:rPr>
        <w:t>Among 841 scheduled patients, 57 (6.8%) experienced UTI-related cancellation. Five predictors were retained: age, pelvic organ prolapse stage, body mass index, recurrent UTI history, and diabetes. The model had a C-statistic of 0.759, sensitivity of 75.4%, specificity of 62.8%, negative predictive value of 97.4%, and Brier score of 0.060. Full-process bootstrap validation yielded a calibration slope of 0.992. Decision curve analysis demonstrated net clinical benefit across threshold probabilities of 2% to 40%. At the selected operating threshold, approximately 329 patients per 1,000 would be classified as higher risk, with a number needed to screen of 6.9 to identify one cancellation.</w:t>
      </w:r>
      <w:r w:rsidRPr="00F47BE6">
        <w:rPr>
          <w:rFonts w:cs="Arial"/>
          <w:sz w:val="20"/>
          <w:szCs w:val="20"/>
        </w:rPr>
        <w:br/>
      </w:r>
      <w:r w:rsidRPr="00895E88">
        <w:rPr>
          <w:rFonts w:cs="Arial"/>
          <w:sz w:val="20"/>
          <w:szCs w:val="20"/>
          <w:u w:val="single"/>
        </w:rPr>
        <w:t>Discussion/Conclusions</w:t>
      </w:r>
      <w:r w:rsidR="00895E88" w:rsidRPr="00895E88">
        <w:rPr>
          <w:rFonts w:cs="Arial"/>
          <w:sz w:val="20"/>
          <w:szCs w:val="20"/>
          <w:u w:val="single"/>
        </w:rPr>
        <w:t>:</w:t>
      </w:r>
      <w:r w:rsidR="00895E88">
        <w:rPr>
          <w:rFonts w:cs="Arial"/>
          <w:sz w:val="20"/>
          <w:szCs w:val="20"/>
        </w:rPr>
        <w:t xml:space="preserve"> </w:t>
      </w:r>
      <w:r w:rsidRPr="00F47BE6">
        <w:rPr>
          <w:rFonts w:cs="Arial"/>
          <w:sz w:val="20"/>
          <w:szCs w:val="20"/>
        </w:rPr>
        <w:t>UTI-related urodynamic cancellations can be predicted using routinely available clinical information. A risk-based approach could support targeted preprocedure urine testing and counseling rather than one-size-fits-all screening. Prospective external validation is needed before implementation, but prediction-guided scheduling may help preserve procedure capacity, reduce avoidable cancellations, and improve resource utilization.</w:t>
      </w:r>
    </w:p>
    <w:p w14:paraId="140E270B" w14:textId="77777777" w:rsidR="00895E88" w:rsidRDefault="00895E88" w:rsidP="00D36E11">
      <w:pPr>
        <w:spacing w:after="0" w:line="240" w:lineRule="auto"/>
        <w:rPr>
          <w:rFonts w:cs="Arial"/>
          <w:b/>
          <w:sz w:val="20"/>
          <w:szCs w:val="20"/>
        </w:rPr>
      </w:pPr>
    </w:p>
    <w:p w14:paraId="2FD65FDF" w14:textId="654E8079"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Nicole Wood, MD</w:t>
      </w:r>
      <w:r w:rsidR="003F5A04">
        <w:rPr>
          <w:rFonts w:cs="Arial"/>
          <w:sz w:val="20"/>
          <w:szCs w:val="20"/>
        </w:rPr>
        <w:t xml:space="preserve"> (1)</w:t>
      </w:r>
      <w:r w:rsidR="007E38C3" w:rsidRPr="00F47BE6">
        <w:rPr>
          <w:rFonts w:cs="Arial"/>
          <w:sz w:val="20"/>
          <w:szCs w:val="20"/>
        </w:rPr>
        <w:t>, Madison Kasoff, MD</w:t>
      </w:r>
      <w:r w:rsidR="003F5A04">
        <w:rPr>
          <w:rFonts w:cs="Arial"/>
          <w:sz w:val="20"/>
          <w:szCs w:val="20"/>
        </w:rPr>
        <w:t xml:space="preserve"> (2)</w:t>
      </w:r>
      <w:r w:rsidR="007E38C3" w:rsidRPr="00F47BE6">
        <w:rPr>
          <w:rFonts w:cs="Arial"/>
          <w:sz w:val="20"/>
          <w:szCs w:val="20"/>
        </w:rPr>
        <w:t>, Madeline Carmain, MD</w:t>
      </w:r>
      <w:r w:rsidR="002C500E">
        <w:rPr>
          <w:rFonts w:cs="Arial"/>
          <w:sz w:val="20"/>
          <w:szCs w:val="20"/>
        </w:rPr>
        <w:t xml:space="preserve"> (1)</w:t>
      </w:r>
      <w:r w:rsidR="007E38C3" w:rsidRPr="00F47BE6">
        <w:rPr>
          <w:rFonts w:cs="Arial"/>
          <w:sz w:val="20"/>
          <w:szCs w:val="20"/>
        </w:rPr>
        <w:t>, Justin Finkel</w:t>
      </w:r>
      <w:r w:rsidR="002C500E">
        <w:rPr>
          <w:rFonts w:cs="Arial"/>
          <w:sz w:val="20"/>
          <w:szCs w:val="20"/>
        </w:rPr>
        <w:t xml:space="preserve"> (3)</w:t>
      </w:r>
      <w:r w:rsidR="007E38C3" w:rsidRPr="00F47BE6">
        <w:rPr>
          <w:rFonts w:cs="Arial"/>
          <w:sz w:val="20"/>
          <w:szCs w:val="20"/>
        </w:rPr>
        <w:t>, Monica Saleeb, MD</w:t>
      </w:r>
      <w:r w:rsidR="002C500E">
        <w:rPr>
          <w:rFonts w:cs="Arial"/>
          <w:sz w:val="20"/>
          <w:szCs w:val="20"/>
        </w:rPr>
        <w:t xml:space="preserve"> (1)</w:t>
      </w:r>
      <w:r w:rsidR="007E38C3" w:rsidRPr="00F47BE6">
        <w:rPr>
          <w:rFonts w:cs="Arial"/>
          <w:sz w:val="20"/>
          <w:szCs w:val="20"/>
        </w:rPr>
        <w:t>, Paul Tulikangas, MD</w:t>
      </w:r>
      <w:r w:rsidR="002C500E">
        <w:rPr>
          <w:rFonts w:cs="Arial"/>
          <w:sz w:val="20"/>
          <w:szCs w:val="20"/>
        </w:rPr>
        <w:t xml:space="preserve"> (</w:t>
      </w:r>
      <w:r w:rsidR="0009374E">
        <w:rPr>
          <w:rFonts w:cs="Arial"/>
          <w:sz w:val="20"/>
          <w:szCs w:val="20"/>
        </w:rPr>
        <w:t>1)</w:t>
      </w:r>
      <w:r w:rsidR="007E38C3" w:rsidRPr="00F47BE6">
        <w:rPr>
          <w:rFonts w:cs="Arial"/>
          <w:sz w:val="20"/>
          <w:szCs w:val="20"/>
        </w:rPr>
        <w:t>, Elena Tunitsky-Bitton, MD</w:t>
      </w:r>
      <w:r w:rsidR="0009374E">
        <w:rPr>
          <w:rFonts w:cs="Arial"/>
          <w:sz w:val="20"/>
          <w:szCs w:val="20"/>
        </w:rPr>
        <w:t xml:space="preserve"> (1,4)</w:t>
      </w:r>
      <w:r w:rsidR="007E38C3" w:rsidRPr="00F47BE6">
        <w:rPr>
          <w:rFonts w:cs="Arial"/>
          <w:sz w:val="20"/>
          <w:szCs w:val="20"/>
        </w:rPr>
        <w:t>, Tyler Muffly, MD</w:t>
      </w:r>
      <w:r w:rsidR="0009374E">
        <w:rPr>
          <w:rFonts w:cs="Arial"/>
          <w:sz w:val="20"/>
          <w:szCs w:val="20"/>
        </w:rPr>
        <w:t xml:space="preserve"> (5)</w:t>
      </w:r>
    </w:p>
    <w:p w14:paraId="6ABD40B8" w14:textId="77777777" w:rsidR="003F5A04" w:rsidRDefault="003F5A04" w:rsidP="00D36E11">
      <w:pPr>
        <w:widowControl w:val="0"/>
        <w:autoSpaceDE w:val="0"/>
        <w:autoSpaceDN w:val="0"/>
        <w:spacing w:after="0" w:line="240" w:lineRule="auto"/>
        <w:rPr>
          <w:rFonts w:eastAsia="Arial" w:cs="Arial"/>
          <w:sz w:val="20"/>
          <w:szCs w:val="20"/>
          <w:lang w:bidi="en-US"/>
        </w:rPr>
      </w:pPr>
    </w:p>
    <w:p w14:paraId="5620F40C" w14:textId="480B0B4C" w:rsidR="003F5A04" w:rsidRPr="003F5A04" w:rsidRDefault="003F5A04" w:rsidP="00D36E11">
      <w:pPr>
        <w:widowControl w:val="0"/>
        <w:autoSpaceDE w:val="0"/>
        <w:autoSpaceDN w:val="0"/>
        <w:spacing w:after="0" w:line="240" w:lineRule="auto"/>
        <w:rPr>
          <w:rFonts w:eastAsia="Arial" w:cs="Arial"/>
          <w:sz w:val="20"/>
          <w:szCs w:val="20"/>
          <w:lang w:bidi="en-US"/>
        </w:rPr>
      </w:pPr>
      <w:r w:rsidRPr="003F5A04">
        <w:rPr>
          <w:rFonts w:eastAsia="Arial" w:cs="Arial"/>
          <w:sz w:val="20"/>
          <w:szCs w:val="20"/>
          <w:lang w:bidi="en-US"/>
        </w:rPr>
        <w:t>(1) Hartford Hospital, Department of Urogynecology</w:t>
      </w:r>
    </w:p>
    <w:p w14:paraId="493F6147" w14:textId="77777777" w:rsidR="003F5A04" w:rsidRPr="003F5A04" w:rsidRDefault="003F5A04" w:rsidP="00D36E11">
      <w:pPr>
        <w:widowControl w:val="0"/>
        <w:autoSpaceDE w:val="0"/>
        <w:autoSpaceDN w:val="0"/>
        <w:spacing w:after="0" w:line="240" w:lineRule="auto"/>
        <w:rPr>
          <w:rFonts w:eastAsia="Arial" w:cs="Arial"/>
          <w:sz w:val="20"/>
          <w:szCs w:val="20"/>
          <w:lang w:bidi="en-US"/>
        </w:rPr>
      </w:pPr>
      <w:r w:rsidRPr="003F5A04">
        <w:rPr>
          <w:rFonts w:eastAsia="Arial" w:cs="Arial"/>
          <w:sz w:val="20"/>
          <w:szCs w:val="20"/>
          <w:lang w:bidi="en-US"/>
        </w:rPr>
        <w:lastRenderedPageBreak/>
        <w:t>(2) University of Connecticut, Department of Obstetrics and Gynecology</w:t>
      </w:r>
    </w:p>
    <w:p w14:paraId="1F83B05E" w14:textId="77777777" w:rsidR="003F5A04" w:rsidRPr="003F5A04" w:rsidRDefault="003F5A04" w:rsidP="00D36E11">
      <w:pPr>
        <w:widowControl w:val="0"/>
        <w:autoSpaceDE w:val="0"/>
        <w:autoSpaceDN w:val="0"/>
        <w:spacing w:after="0" w:line="240" w:lineRule="auto"/>
        <w:rPr>
          <w:rFonts w:eastAsia="Arial" w:cs="Arial"/>
          <w:sz w:val="20"/>
          <w:szCs w:val="20"/>
          <w:lang w:bidi="en-US"/>
        </w:rPr>
      </w:pPr>
      <w:r w:rsidRPr="003F5A04">
        <w:rPr>
          <w:rFonts w:eastAsia="Arial" w:cs="Arial"/>
          <w:sz w:val="20"/>
          <w:szCs w:val="20"/>
          <w:lang w:bidi="en-US"/>
        </w:rPr>
        <w:t>(3) Hartford HealthCare</w:t>
      </w:r>
    </w:p>
    <w:p w14:paraId="1A11DC3E" w14:textId="77777777" w:rsidR="003F5A04" w:rsidRPr="003F5A04" w:rsidRDefault="003F5A04" w:rsidP="00D36E11">
      <w:pPr>
        <w:widowControl w:val="0"/>
        <w:autoSpaceDE w:val="0"/>
        <w:autoSpaceDN w:val="0"/>
        <w:spacing w:after="0" w:line="240" w:lineRule="auto"/>
        <w:rPr>
          <w:rFonts w:eastAsia="Arial" w:cs="Arial"/>
          <w:sz w:val="20"/>
          <w:szCs w:val="20"/>
          <w:lang w:bidi="en-US"/>
        </w:rPr>
      </w:pPr>
      <w:r w:rsidRPr="003F5A04">
        <w:rPr>
          <w:rFonts w:eastAsia="Arial" w:cs="Arial"/>
          <w:sz w:val="20"/>
          <w:szCs w:val="20"/>
          <w:lang w:bidi="en-US"/>
        </w:rPr>
        <w:t>(4) University of Connecticut School of Medicine</w:t>
      </w:r>
    </w:p>
    <w:p w14:paraId="5B297B60" w14:textId="33FE90F0" w:rsidR="003F5A04" w:rsidRPr="003F5A04" w:rsidRDefault="003F5A04" w:rsidP="00D36E11">
      <w:pPr>
        <w:widowControl w:val="0"/>
        <w:autoSpaceDE w:val="0"/>
        <w:autoSpaceDN w:val="0"/>
        <w:spacing w:after="0" w:line="240" w:lineRule="auto"/>
        <w:rPr>
          <w:rFonts w:eastAsia="Arial" w:cs="Arial"/>
          <w:sz w:val="20"/>
          <w:szCs w:val="20"/>
          <w:lang w:bidi="en-US"/>
        </w:rPr>
      </w:pPr>
      <w:r w:rsidRPr="003F5A04">
        <w:rPr>
          <w:rFonts w:eastAsia="Arial" w:cs="Arial"/>
          <w:sz w:val="20"/>
          <w:szCs w:val="20"/>
          <w:lang w:bidi="en-US"/>
        </w:rPr>
        <w:t>(5) Department of Obstetrics and Gynecology, Division of Urogynecology and Reconstructive Pelvic Surgery, Denver Health and Hospital Authority</w:t>
      </w:r>
    </w:p>
    <w:p w14:paraId="4E28BB90" w14:textId="77777777" w:rsidR="00002CD7" w:rsidRDefault="00002CD7" w:rsidP="00D36E11">
      <w:pPr>
        <w:spacing w:after="0" w:line="240" w:lineRule="auto"/>
        <w:rPr>
          <w:rFonts w:cs="Arial"/>
          <w:sz w:val="20"/>
          <w:szCs w:val="20"/>
        </w:rPr>
      </w:pPr>
    </w:p>
    <w:p w14:paraId="5D3BF311" w14:textId="77777777" w:rsidR="00895E88" w:rsidRPr="00F47BE6" w:rsidRDefault="00895E88" w:rsidP="00D36E11">
      <w:pPr>
        <w:spacing w:after="0" w:line="240" w:lineRule="auto"/>
        <w:rPr>
          <w:rFonts w:cs="Arial"/>
          <w:sz w:val="20"/>
          <w:szCs w:val="20"/>
        </w:rPr>
      </w:pPr>
    </w:p>
    <w:p w14:paraId="5CA2F752" w14:textId="049580BD" w:rsidR="00002CD7" w:rsidRPr="00987594" w:rsidRDefault="00B25015" w:rsidP="00D36E11">
      <w:pPr>
        <w:spacing w:after="0" w:line="240" w:lineRule="auto"/>
        <w:rPr>
          <w:rFonts w:cs="Arial"/>
          <w:sz w:val="20"/>
          <w:szCs w:val="20"/>
          <w:u w:val="single"/>
        </w:rPr>
      </w:pPr>
      <w:r>
        <w:rPr>
          <w:rFonts w:cs="Arial"/>
          <w:b/>
          <w:sz w:val="20"/>
          <w:szCs w:val="20"/>
          <w:u w:val="single"/>
        </w:rPr>
        <w:t xml:space="preserve">29. </w:t>
      </w:r>
      <w:r w:rsidR="007E38C3" w:rsidRPr="00987594">
        <w:rPr>
          <w:rFonts w:cs="Arial"/>
          <w:b/>
          <w:sz w:val="20"/>
          <w:szCs w:val="20"/>
          <w:u w:val="single"/>
        </w:rPr>
        <w:t>Integrating Sexual Health Care into Breast Oncology: Evaluation of the Pilot Year of an Embedded Clinic</w:t>
      </w:r>
    </w:p>
    <w:p w14:paraId="603A4BE7" w14:textId="77777777" w:rsidR="00987594" w:rsidRDefault="00987594" w:rsidP="00D36E11">
      <w:pPr>
        <w:spacing w:after="0" w:line="240" w:lineRule="auto"/>
        <w:rPr>
          <w:rFonts w:cs="Arial"/>
          <w:b/>
          <w:sz w:val="20"/>
          <w:szCs w:val="20"/>
        </w:rPr>
      </w:pPr>
    </w:p>
    <w:p w14:paraId="72F6FCF9" w14:textId="5B517D21"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Elise Tsai, University of Colorado School of Medicine</w:t>
      </w:r>
    </w:p>
    <w:p w14:paraId="176BF1A7" w14:textId="77777777" w:rsidR="00987594" w:rsidRDefault="00987594" w:rsidP="00D36E11">
      <w:pPr>
        <w:spacing w:after="0" w:line="240" w:lineRule="auto"/>
        <w:rPr>
          <w:rFonts w:cs="Arial"/>
          <w:sz w:val="20"/>
          <w:szCs w:val="20"/>
        </w:rPr>
      </w:pPr>
    </w:p>
    <w:p w14:paraId="0853C3C9" w14:textId="3590F66C" w:rsidR="00002CD7" w:rsidRPr="00F47BE6" w:rsidRDefault="007E38C3" w:rsidP="00D36E11">
      <w:pPr>
        <w:spacing w:after="0" w:line="240" w:lineRule="auto"/>
        <w:rPr>
          <w:rFonts w:cs="Arial"/>
          <w:sz w:val="20"/>
          <w:szCs w:val="20"/>
        </w:rPr>
      </w:pPr>
      <w:r w:rsidRPr="00987594">
        <w:rPr>
          <w:rFonts w:cs="Arial"/>
          <w:sz w:val="20"/>
          <w:szCs w:val="20"/>
          <w:u w:val="single"/>
        </w:rPr>
        <w:t>Background:</w:t>
      </w:r>
      <w:r w:rsidR="00987594">
        <w:rPr>
          <w:rFonts w:cs="Arial"/>
          <w:sz w:val="20"/>
          <w:szCs w:val="20"/>
        </w:rPr>
        <w:t xml:space="preserve"> </w:t>
      </w:r>
      <w:r w:rsidRPr="00F47BE6">
        <w:rPr>
          <w:rFonts w:cs="Arial"/>
          <w:sz w:val="20"/>
          <w:szCs w:val="20"/>
        </w:rPr>
        <w:t>Sexual health (SH) concerns are common among breast cancer (BC) patients and significantly affect quality of life. Although many of these symptoms are treatable, they are frequently overlooked in standard oncology care. A dedicated sexual health clinic (SHC) was embedded within a breast clinic at a comprehensive cancer center in March 2024. This study evaluated the SHC's first year, focusing on utilization, patient characteristics, and early outcomes.</w:t>
      </w:r>
      <w:r w:rsidRPr="00F47BE6">
        <w:rPr>
          <w:rFonts w:cs="Arial"/>
          <w:sz w:val="20"/>
          <w:szCs w:val="20"/>
        </w:rPr>
        <w:br/>
      </w:r>
      <w:r w:rsidRPr="00987594">
        <w:rPr>
          <w:rFonts w:cs="Arial"/>
          <w:sz w:val="20"/>
          <w:szCs w:val="20"/>
          <w:u w:val="single"/>
        </w:rPr>
        <w:t>Methods:</w:t>
      </w:r>
      <w:r w:rsidR="00987594">
        <w:rPr>
          <w:rFonts w:cs="Arial"/>
          <w:sz w:val="20"/>
          <w:szCs w:val="20"/>
        </w:rPr>
        <w:t xml:space="preserve"> </w:t>
      </w:r>
      <w:r w:rsidRPr="00F47BE6">
        <w:rPr>
          <w:rFonts w:cs="Arial"/>
          <w:sz w:val="20"/>
          <w:szCs w:val="20"/>
        </w:rPr>
        <w:t>The SHC was staffed by a Nurse Practitioner who offered counseling, treatment, and referrals for a range of SH issues. Retrospective chart review captured SHC patient history, visit details, and short-term outcomes for all visits from March 2024 through February 2025. The PROMIS Sexual Function Brief Profile v2 was administered to a subset of patients and documented in the review.</w:t>
      </w:r>
      <w:r w:rsidRPr="00F47BE6">
        <w:rPr>
          <w:rFonts w:cs="Arial"/>
          <w:sz w:val="20"/>
          <w:szCs w:val="20"/>
        </w:rPr>
        <w:br/>
      </w:r>
      <w:r w:rsidRPr="00987594">
        <w:rPr>
          <w:rFonts w:cs="Arial"/>
          <w:sz w:val="20"/>
          <w:szCs w:val="20"/>
          <w:u w:val="single"/>
        </w:rPr>
        <w:t>Results:</w:t>
      </w:r>
      <w:r w:rsidR="00987594">
        <w:rPr>
          <w:rFonts w:cs="Arial"/>
          <w:sz w:val="20"/>
          <w:szCs w:val="20"/>
        </w:rPr>
        <w:t xml:space="preserve"> </w:t>
      </w:r>
      <w:r w:rsidRPr="00F47BE6">
        <w:rPr>
          <w:rFonts w:cs="Arial"/>
          <w:sz w:val="20"/>
          <w:szCs w:val="20"/>
        </w:rPr>
        <w:t>Over 12 months, 37 patients (mean 54 ± 10 years) completed 54 appointments, with 49% returning for at least one follow-up. Most referrals came from providers (78%); 22% were self-initiated. The most frequently reported concerns were vaginal dryness (68%), dyspareunia (62%), low libido (41%), and difficulties with arousal (32%). Among patients with a follow-up visit, 83% reported improved symptoms. Demand was high: over 90% of available slots were filled, with 85% attendance. Sexual health therapy (22%) and pelvic floor physical therapy were the most common referrals. Implementation barriers included limited awareness during rollout and scheduling constraints, particularly for follow-ups. PROMIS results are under analysis and will be presented.</w:t>
      </w:r>
      <w:r w:rsidRPr="00F47BE6">
        <w:rPr>
          <w:rFonts w:cs="Arial"/>
          <w:sz w:val="20"/>
          <w:szCs w:val="20"/>
        </w:rPr>
        <w:br/>
      </w:r>
      <w:r w:rsidRPr="00987594">
        <w:rPr>
          <w:rFonts w:cs="Arial"/>
          <w:sz w:val="20"/>
          <w:szCs w:val="20"/>
          <w:u w:val="single"/>
        </w:rPr>
        <w:t>Conclusion:</w:t>
      </w:r>
      <w:r w:rsidR="00987594">
        <w:rPr>
          <w:rFonts w:cs="Arial"/>
          <w:sz w:val="20"/>
          <w:szCs w:val="20"/>
        </w:rPr>
        <w:t xml:space="preserve"> </w:t>
      </w:r>
      <w:r w:rsidRPr="00F47BE6">
        <w:rPr>
          <w:rFonts w:cs="Arial"/>
          <w:sz w:val="20"/>
          <w:szCs w:val="20"/>
        </w:rPr>
        <w:t>Embedding SH services within a BC clinic is a feasible, effective strategy to address an often-neglected aspect of survivorship care. High utilization suggests substantial unmet need among BC and high-risk patients. Integrated SH care may reduce stigma, improve access, and promote sexual well-being; expanded capacity and ongoing PRO analysis will guide efforts to scale services equitably across the cancer care continuum.</w:t>
      </w:r>
    </w:p>
    <w:p w14:paraId="108ABC15" w14:textId="32AA9A8D"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Sarah Leslie</w:t>
      </w:r>
      <w:r w:rsidR="00215C4C">
        <w:rPr>
          <w:rFonts w:cs="Arial"/>
          <w:sz w:val="20"/>
          <w:szCs w:val="20"/>
        </w:rPr>
        <w:t xml:space="preserve"> (1)</w:t>
      </w:r>
      <w:r w:rsidR="000A74E9">
        <w:rPr>
          <w:rFonts w:cs="Arial"/>
          <w:sz w:val="20"/>
          <w:szCs w:val="20"/>
        </w:rPr>
        <w:t xml:space="preserve">, </w:t>
      </w:r>
      <w:r w:rsidR="007E38C3" w:rsidRPr="00F47BE6">
        <w:rPr>
          <w:rFonts w:cs="Arial"/>
          <w:sz w:val="20"/>
          <w:szCs w:val="20"/>
        </w:rPr>
        <w:t>Ashley Arkema</w:t>
      </w:r>
      <w:r w:rsidR="000A74E9">
        <w:rPr>
          <w:rFonts w:cs="Arial"/>
          <w:sz w:val="20"/>
          <w:szCs w:val="20"/>
        </w:rPr>
        <w:t xml:space="preserve"> (2), </w:t>
      </w:r>
      <w:r w:rsidR="007E38C3" w:rsidRPr="00F47BE6">
        <w:rPr>
          <w:rFonts w:cs="Arial"/>
          <w:sz w:val="20"/>
          <w:szCs w:val="20"/>
        </w:rPr>
        <w:t>Madeline Higgins</w:t>
      </w:r>
      <w:r w:rsidR="000A74E9">
        <w:rPr>
          <w:rFonts w:cs="Arial"/>
          <w:sz w:val="20"/>
          <w:szCs w:val="20"/>
        </w:rPr>
        <w:t xml:space="preserve"> (3), </w:t>
      </w:r>
      <w:r w:rsidR="007E38C3" w:rsidRPr="00F47BE6">
        <w:rPr>
          <w:rFonts w:cs="Arial"/>
          <w:sz w:val="20"/>
          <w:szCs w:val="20"/>
        </w:rPr>
        <w:t>Laura Helmkamp</w:t>
      </w:r>
      <w:r w:rsidR="000A74E9">
        <w:rPr>
          <w:rFonts w:cs="Arial"/>
          <w:sz w:val="20"/>
          <w:szCs w:val="20"/>
        </w:rPr>
        <w:t xml:space="preserve"> (1), </w:t>
      </w:r>
      <w:r w:rsidR="007E38C3" w:rsidRPr="00F47BE6">
        <w:rPr>
          <w:rFonts w:cs="Arial"/>
          <w:sz w:val="20"/>
          <w:szCs w:val="20"/>
        </w:rPr>
        <w:t>Lauren Zimmaro</w:t>
      </w:r>
      <w:r w:rsidR="000A74E9">
        <w:rPr>
          <w:rFonts w:cs="Arial"/>
          <w:sz w:val="20"/>
          <w:szCs w:val="20"/>
        </w:rPr>
        <w:t xml:space="preserve"> (4), </w:t>
      </w:r>
      <w:r w:rsidR="007E38C3" w:rsidRPr="00F47BE6">
        <w:rPr>
          <w:rFonts w:cs="Arial"/>
          <w:sz w:val="20"/>
          <w:szCs w:val="20"/>
        </w:rPr>
        <w:t>Erin Baurle</w:t>
      </w:r>
      <w:r w:rsidR="000A74E9">
        <w:rPr>
          <w:rFonts w:cs="Arial"/>
          <w:sz w:val="20"/>
          <w:szCs w:val="20"/>
        </w:rPr>
        <w:t xml:space="preserve"> (</w:t>
      </w:r>
      <w:r w:rsidR="009823F8">
        <w:rPr>
          <w:rFonts w:cs="Arial"/>
          <w:sz w:val="20"/>
          <w:szCs w:val="20"/>
        </w:rPr>
        <w:t xml:space="preserve">4), </w:t>
      </w:r>
      <w:r w:rsidR="007E38C3" w:rsidRPr="00F47BE6">
        <w:rPr>
          <w:rFonts w:cs="Arial"/>
          <w:sz w:val="20"/>
          <w:szCs w:val="20"/>
        </w:rPr>
        <w:t>Kim Makela</w:t>
      </w:r>
      <w:r w:rsidR="009823F8">
        <w:rPr>
          <w:rFonts w:cs="Arial"/>
          <w:sz w:val="20"/>
          <w:szCs w:val="20"/>
        </w:rPr>
        <w:t xml:space="preserve"> (4), </w:t>
      </w:r>
      <w:r w:rsidR="007E38C3" w:rsidRPr="00F47BE6">
        <w:rPr>
          <w:rFonts w:cs="Arial"/>
          <w:sz w:val="20"/>
          <w:szCs w:val="20"/>
        </w:rPr>
        <w:t>Ellie O’Brien</w:t>
      </w:r>
      <w:r w:rsidR="009823F8">
        <w:rPr>
          <w:rFonts w:cs="Arial"/>
          <w:sz w:val="20"/>
          <w:szCs w:val="20"/>
        </w:rPr>
        <w:t xml:space="preserve"> (5), </w:t>
      </w:r>
      <w:r w:rsidR="007E38C3" w:rsidRPr="00F47BE6">
        <w:rPr>
          <w:rFonts w:cs="Arial"/>
          <w:sz w:val="20"/>
          <w:szCs w:val="20"/>
        </w:rPr>
        <w:t>Elise Tsai</w:t>
      </w:r>
      <w:r w:rsidR="009823F8">
        <w:rPr>
          <w:rFonts w:cs="Arial"/>
          <w:sz w:val="20"/>
          <w:szCs w:val="20"/>
        </w:rPr>
        <w:t xml:space="preserve"> (1), </w:t>
      </w:r>
      <w:r w:rsidR="007E38C3" w:rsidRPr="00F47BE6">
        <w:rPr>
          <w:rFonts w:cs="Arial"/>
          <w:sz w:val="20"/>
          <w:szCs w:val="20"/>
        </w:rPr>
        <w:t>Nicole Christian</w:t>
      </w:r>
      <w:r w:rsidR="009823F8">
        <w:rPr>
          <w:rFonts w:cs="Arial"/>
          <w:sz w:val="20"/>
          <w:szCs w:val="20"/>
        </w:rPr>
        <w:t xml:space="preserve"> (3), </w:t>
      </w:r>
      <w:r w:rsidR="007E38C3" w:rsidRPr="00F47BE6">
        <w:rPr>
          <w:rFonts w:cs="Arial"/>
          <w:sz w:val="20"/>
          <w:szCs w:val="20"/>
        </w:rPr>
        <w:t>Sarah Tevis</w:t>
      </w:r>
      <w:r w:rsidR="009823F8">
        <w:rPr>
          <w:rFonts w:cs="Arial"/>
          <w:sz w:val="20"/>
          <w:szCs w:val="20"/>
        </w:rPr>
        <w:t xml:space="preserve"> (</w:t>
      </w:r>
      <w:r w:rsidR="00221118">
        <w:rPr>
          <w:rFonts w:cs="Arial"/>
          <w:sz w:val="20"/>
          <w:szCs w:val="20"/>
        </w:rPr>
        <w:t xml:space="preserve">1,3), </w:t>
      </w:r>
      <w:r w:rsidR="007E38C3" w:rsidRPr="00F47BE6">
        <w:rPr>
          <w:rFonts w:cs="Arial"/>
          <w:sz w:val="20"/>
          <w:szCs w:val="20"/>
        </w:rPr>
        <w:t>Laura Bozzuto</w:t>
      </w:r>
      <w:r w:rsidR="00221118">
        <w:rPr>
          <w:rFonts w:cs="Arial"/>
          <w:sz w:val="20"/>
          <w:szCs w:val="20"/>
        </w:rPr>
        <w:t xml:space="preserve"> (3)</w:t>
      </w:r>
    </w:p>
    <w:p w14:paraId="42DA43E5" w14:textId="77777777" w:rsidR="00215C4C" w:rsidRDefault="00215C4C" w:rsidP="00D36E11">
      <w:pPr>
        <w:spacing w:after="0" w:line="240" w:lineRule="auto"/>
        <w:rPr>
          <w:rFonts w:cs="Arial"/>
          <w:sz w:val="20"/>
          <w:szCs w:val="20"/>
        </w:rPr>
      </w:pPr>
    </w:p>
    <w:p w14:paraId="58EE7698" w14:textId="77777777" w:rsidR="00215C4C" w:rsidRPr="00215C4C" w:rsidRDefault="00215C4C" w:rsidP="00D36E11">
      <w:pPr>
        <w:spacing w:after="0" w:line="240" w:lineRule="auto"/>
        <w:rPr>
          <w:rFonts w:cs="Arial"/>
          <w:sz w:val="20"/>
          <w:szCs w:val="20"/>
        </w:rPr>
      </w:pPr>
      <w:r w:rsidRPr="00215C4C">
        <w:rPr>
          <w:rFonts w:cs="Arial"/>
          <w:sz w:val="20"/>
          <w:szCs w:val="20"/>
        </w:rPr>
        <w:t>(1) Adult and Child Center for Outcomes Research and Delivery Science (ACCORDS), University of Colorado Anschutz</w:t>
      </w:r>
    </w:p>
    <w:p w14:paraId="4F489709" w14:textId="77777777" w:rsidR="00215C4C" w:rsidRPr="00215C4C" w:rsidRDefault="00215C4C" w:rsidP="00D36E11">
      <w:pPr>
        <w:spacing w:after="0" w:line="240" w:lineRule="auto"/>
        <w:rPr>
          <w:rFonts w:cs="Arial"/>
          <w:sz w:val="20"/>
          <w:szCs w:val="20"/>
        </w:rPr>
      </w:pPr>
      <w:r w:rsidRPr="00215C4C">
        <w:rPr>
          <w:rFonts w:cs="Arial"/>
          <w:sz w:val="20"/>
          <w:szCs w:val="20"/>
        </w:rPr>
        <w:t>(2) School of Medicine, University of Colorado Anschutz</w:t>
      </w:r>
    </w:p>
    <w:p w14:paraId="2ED70ABD" w14:textId="77777777" w:rsidR="00215C4C" w:rsidRPr="00215C4C" w:rsidRDefault="00215C4C" w:rsidP="00D36E11">
      <w:pPr>
        <w:spacing w:after="0" w:line="240" w:lineRule="auto"/>
        <w:rPr>
          <w:rFonts w:cs="Arial"/>
          <w:sz w:val="20"/>
          <w:szCs w:val="20"/>
        </w:rPr>
      </w:pPr>
      <w:r w:rsidRPr="00215C4C">
        <w:rPr>
          <w:rFonts w:cs="Arial"/>
          <w:sz w:val="20"/>
          <w:szCs w:val="20"/>
        </w:rPr>
        <w:t>(3) Department of Surgery, University of Colorado Anschutz</w:t>
      </w:r>
    </w:p>
    <w:p w14:paraId="0AC3BFAB" w14:textId="77777777" w:rsidR="00215C4C" w:rsidRPr="00215C4C" w:rsidRDefault="00215C4C" w:rsidP="00D36E11">
      <w:pPr>
        <w:spacing w:after="0" w:line="240" w:lineRule="auto"/>
        <w:rPr>
          <w:rFonts w:cs="Arial"/>
          <w:sz w:val="20"/>
          <w:szCs w:val="20"/>
        </w:rPr>
      </w:pPr>
      <w:r w:rsidRPr="00215C4C">
        <w:rPr>
          <w:rFonts w:cs="Arial"/>
          <w:sz w:val="20"/>
          <w:szCs w:val="20"/>
        </w:rPr>
        <w:t>(4) Department of Medicine, Division of Medical Oncology, University of Colorado Anschutz</w:t>
      </w:r>
    </w:p>
    <w:p w14:paraId="189F07A2" w14:textId="129CAFC8" w:rsidR="00215C4C" w:rsidRPr="00F47BE6" w:rsidRDefault="00215C4C" w:rsidP="00D36E11">
      <w:pPr>
        <w:spacing w:after="0" w:line="240" w:lineRule="auto"/>
        <w:rPr>
          <w:rFonts w:cs="Arial"/>
          <w:sz w:val="20"/>
          <w:szCs w:val="20"/>
        </w:rPr>
      </w:pPr>
      <w:r w:rsidRPr="00215C4C">
        <w:rPr>
          <w:rFonts w:cs="Arial"/>
          <w:sz w:val="20"/>
          <w:szCs w:val="20"/>
        </w:rPr>
        <w:t>(5) School of Medicine, Quinnipiac University Frank H. Netter MD School of Medicine</w:t>
      </w:r>
    </w:p>
    <w:p w14:paraId="355E1EBD" w14:textId="77777777" w:rsidR="00002CD7" w:rsidRDefault="00002CD7" w:rsidP="00D36E11">
      <w:pPr>
        <w:spacing w:after="0" w:line="240" w:lineRule="auto"/>
        <w:rPr>
          <w:rFonts w:cs="Arial"/>
          <w:sz w:val="20"/>
          <w:szCs w:val="20"/>
        </w:rPr>
      </w:pPr>
    </w:p>
    <w:p w14:paraId="2006F640" w14:textId="77777777" w:rsidR="00221118" w:rsidRPr="00F47BE6" w:rsidRDefault="00221118" w:rsidP="00D36E11">
      <w:pPr>
        <w:spacing w:after="0" w:line="240" w:lineRule="auto"/>
        <w:rPr>
          <w:rFonts w:cs="Arial"/>
          <w:sz w:val="20"/>
          <w:szCs w:val="20"/>
        </w:rPr>
      </w:pPr>
    </w:p>
    <w:p w14:paraId="30C78902" w14:textId="0239D718" w:rsidR="00002CD7" w:rsidRPr="000E2E46" w:rsidRDefault="00AC3C41" w:rsidP="00D36E11">
      <w:pPr>
        <w:spacing w:after="0" w:line="240" w:lineRule="auto"/>
        <w:rPr>
          <w:rFonts w:cs="Arial"/>
          <w:sz w:val="20"/>
          <w:szCs w:val="20"/>
          <w:u w:val="single"/>
        </w:rPr>
      </w:pPr>
      <w:r>
        <w:rPr>
          <w:rFonts w:cs="Arial"/>
          <w:b/>
          <w:sz w:val="20"/>
          <w:szCs w:val="20"/>
          <w:u w:val="single"/>
        </w:rPr>
        <w:t xml:space="preserve">30. </w:t>
      </w:r>
      <w:r w:rsidR="007E38C3" w:rsidRPr="000E2E46">
        <w:rPr>
          <w:rFonts w:cs="Arial"/>
          <w:b/>
          <w:sz w:val="20"/>
          <w:szCs w:val="20"/>
          <w:u w:val="single"/>
        </w:rPr>
        <w:t>Life Cycle Assessment of Resin-Based Composite Restorations in an Academic Dental Clinic: Identifying Environmental Hotspots to Support Sustainable Oral Healthcare</w:t>
      </w:r>
    </w:p>
    <w:p w14:paraId="1DCC66C5" w14:textId="77777777" w:rsidR="000E2E46" w:rsidRDefault="000E2E46" w:rsidP="00D36E11">
      <w:pPr>
        <w:spacing w:after="0" w:line="240" w:lineRule="auto"/>
        <w:rPr>
          <w:rFonts w:cs="Arial"/>
          <w:b/>
          <w:sz w:val="20"/>
          <w:szCs w:val="20"/>
        </w:rPr>
      </w:pPr>
    </w:p>
    <w:p w14:paraId="71DFF0E2" w14:textId="5F8F76C6"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Devatha Nair, University of Colorado School of Medicine</w:t>
      </w:r>
    </w:p>
    <w:p w14:paraId="24F2DF2E" w14:textId="77777777" w:rsidR="000E2E46" w:rsidRDefault="000E2E46" w:rsidP="00D36E11">
      <w:pPr>
        <w:spacing w:after="0" w:line="240" w:lineRule="auto"/>
        <w:rPr>
          <w:rFonts w:cs="Arial"/>
          <w:sz w:val="20"/>
          <w:szCs w:val="20"/>
        </w:rPr>
      </w:pPr>
    </w:p>
    <w:p w14:paraId="3729022B" w14:textId="08712C7E" w:rsidR="00002CD7" w:rsidRPr="00F47BE6" w:rsidRDefault="007E38C3" w:rsidP="00D36E11">
      <w:pPr>
        <w:spacing w:after="0" w:line="240" w:lineRule="auto"/>
        <w:rPr>
          <w:rFonts w:cs="Arial"/>
          <w:sz w:val="20"/>
          <w:szCs w:val="20"/>
        </w:rPr>
      </w:pPr>
      <w:r w:rsidRPr="000E2E46">
        <w:rPr>
          <w:rFonts w:cs="Arial"/>
          <w:sz w:val="20"/>
          <w:szCs w:val="20"/>
          <w:u w:val="single"/>
        </w:rPr>
        <w:t>Background:</w:t>
      </w:r>
      <w:r w:rsidRPr="00F47BE6">
        <w:rPr>
          <w:rFonts w:cs="Arial"/>
          <w:sz w:val="20"/>
          <w:szCs w:val="20"/>
        </w:rPr>
        <w:t xml:space="preserve"> Healthcare delivery contributes significantly to environmental impacts, yet the sustainability implications of routine dental procedures remain poorly understood, particularly within academic teaching clinics. Resin-based restorations are among the most common dental restorative procedures and require a combination of clinical materials, disposable consumables, energy-intensive equipment, instrument sterilization, and waste management processes. Understanding the environmental footprint of these procedures is essential as organizations seek to improve sustainability while maintaining high standards of patient care.</w:t>
      </w:r>
      <w:r w:rsidR="000E2E46">
        <w:rPr>
          <w:rFonts w:cs="Arial"/>
          <w:sz w:val="20"/>
          <w:szCs w:val="20"/>
        </w:rPr>
        <w:t xml:space="preserve"> </w:t>
      </w:r>
      <w:r w:rsidRPr="00F47BE6">
        <w:rPr>
          <w:rFonts w:cs="Arial"/>
          <w:sz w:val="20"/>
          <w:szCs w:val="20"/>
        </w:rPr>
        <w:t xml:space="preserve">This study aimed to conduct a process-based Life Cycle Assessment (LCA) of a resin-based restoration delivered in an educational clinical environment and to identify environmental hotspots associated with materials, energy use, infection control practices, instrument reprocessing, and waste disposal. </w:t>
      </w:r>
      <w:r w:rsidRPr="00F47BE6">
        <w:rPr>
          <w:rFonts w:cs="Arial"/>
          <w:sz w:val="20"/>
          <w:szCs w:val="20"/>
        </w:rPr>
        <w:br/>
      </w:r>
      <w:r w:rsidRPr="000E2E46">
        <w:rPr>
          <w:rFonts w:cs="Arial"/>
          <w:sz w:val="20"/>
          <w:szCs w:val="20"/>
          <w:u w:val="single"/>
        </w:rPr>
        <w:t>Methods:</w:t>
      </w:r>
      <w:r w:rsidRPr="00F47BE6">
        <w:rPr>
          <w:rFonts w:cs="Arial"/>
          <w:sz w:val="20"/>
          <w:szCs w:val="20"/>
        </w:rPr>
        <w:t xml:space="preserve"> A cradle-to-grave attributional LCA was performed for a single resin restoration completed during one </w:t>
      </w:r>
      <w:r w:rsidRPr="00F47BE6">
        <w:rPr>
          <w:rFonts w:cs="Arial"/>
          <w:sz w:val="20"/>
          <w:szCs w:val="20"/>
        </w:rPr>
        <w:lastRenderedPageBreak/>
        <w:t>patient visit at the University of Colorado School of Dental Medicine. Data was collected on clinical materials, disposable supplies, sterilization activities, water consumption, energy use, and waste generation. A process-based LCA model was developed in Earthster® using primary clinical data and ecoinvent® life cycle inventory datasets for upstream and downstream processes, with environmental impacts assessed using the ReCiPe 2016 midpoint impact assessment method. Contribution and sensitivity analyses were conducted to identify the most significant contributors to overall environmental burden and evaluate potential improvement strategies.</w:t>
      </w:r>
      <w:r w:rsidRPr="00F47BE6">
        <w:rPr>
          <w:rFonts w:cs="Arial"/>
          <w:sz w:val="20"/>
          <w:szCs w:val="20"/>
        </w:rPr>
        <w:br/>
      </w:r>
      <w:r w:rsidRPr="000E2E46">
        <w:rPr>
          <w:rFonts w:cs="Arial"/>
          <w:sz w:val="20"/>
          <w:szCs w:val="20"/>
          <w:u w:val="single"/>
        </w:rPr>
        <w:t>Conclusions:</w:t>
      </w:r>
      <w:r w:rsidRPr="00F47BE6">
        <w:rPr>
          <w:rFonts w:cs="Arial"/>
          <w:sz w:val="20"/>
          <w:szCs w:val="20"/>
        </w:rPr>
        <w:t xml:space="preserve"> This study established a baseline environmental profile for restorative dental care in an academic setting and identified actionable evidence to support sustainable clinical practice. By identifying opportunities to reduce waste, improve resource efficiency, and guiding sustainable clinical decision-making, the findings can help dental institutions minimize environmental impacts while maintaining patient safety and quality of care. More broadly, the implementation of an LCA approach incorporating additional dental procedures has the potential to help optimize dental health system performance (Quintuple Aim) while concurrently advancing sustainability.</w:t>
      </w:r>
    </w:p>
    <w:p w14:paraId="0C97AC4B" w14:textId="77777777" w:rsidR="000E2E46" w:rsidRDefault="000E2E46" w:rsidP="00D36E11">
      <w:pPr>
        <w:spacing w:after="0" w:line="240" w:lineRule="auto"/>
        <w:rPr>
          <w:rFonts w:cs="Arial"/>
          <w:b/>
          <w:sz w:val="20"/>
          <w:szCs w:val="20"/>
        </w:rPr>
      </w:pPr>
    </w:p>
    <w:p w14:paraId="3B44ED09" w14:textId="0BBE4F4A" w:rsidR="00002CD7" w:rsidRPr="00F47BE6" w:rsidRDefault="009D2E22"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Sebastian Lopez</w:t>
      </w:r>
      <w:r w:rsidR="000E2E46">
        <w:rPr>
          <w:rFonts w:cs="Arial"/>
          <w:sz w:val="20"/>
          <w:szCs w:val="20"/>
        </w:rPr>
        <w:t xml:space="preserve"> (</w:t>
      </w:r>
      <w:r w:rsidR="007E38C3" w:rsidRPr="00F47BE6">
        <w:rPr>
          <w:rFonts w:cs="Arial"/>
          <w:sz w:val="20"/>
          <w:szCs w:val="20"/>
        </w:rPr>
        <w:t>1</w:t>
      </w:r>
      <w:r w:rsidR="000E2E46">
        <w:rPr>
          <w:rFonts w:cs="Arial"/>
          <w:sz w:val="20"/>
          <w:szCs w:val="20"/>
        </w:rPr>
        <w:t>)</w:t>
      </w:r>
      <w:r w:rsidR="007E38C3" w:rsidRPr="00F47BE6">
        <w:rPr>
          <w:rFonts w:cs="Arial"/>
          <w:sz w:val="20"/>
          <w:szCs w:val="20"/>
        </w:rPr>
        <w:t>, Derek Cooper</w:t>
      </w:r>
      <w:r w:rsidR="000E2E46">
        <w:rPr>
          <w:rFonts w:cs="Arial"/>
          <w:sz w:val="20"/>
          <w:szCs w:val="20"/>
        </w:rPr>
        <w:t xml:space="preserve"> (</w:t>
      </w:r>
      <w:r w:rsidR="007E38C3" w:rsidRPr="00F47BE6">
        <w:rPr>
          <w:rFonts w:cs="Arial"/>
          <w:sz w:val="20"/>
          <w:szCs w:val="20"/>
        </w:rPr>
        <w:t>2</w:t>
      </w:r>
      <w:r w:rsidR="000E2E46">
        <w:rPr>
          <w:rFonts w:cs="Arial"/>
          <w:sz w:val="20"/>
          <w:szCs w:val="20"/>
        </w:rPr>
        <w:t>)</w:t>
      </w:r>
      <w:r w:rsidR="007E38C3" w:rsidRPr="00F47BE6">
        <w:rPr>
          <w:rFonts w:cs="Arial"/>
          <w:sz w:val="20"/>
          <w:szCs w:val="20"/>
        </w:rPr>
        <w:t>, Bruce Dye</w:t>
      </w:r>
      <w:r w:rsidR="000E2E46">
        <w:rPr>
          <w:rFonts w:cs="Arial"/>
          <w:sz w:val="20"/>
          <w:szCs w:val="20"/>
        </w:rPr>
        <w:t xml:space="preserve"> (</w:t>
      </w:r>
      <w:r w:rsidR="007E38C3" w:rsidRPr="00F47BE6">
        <w:rPr>
          <w:rFonts w:cs="Arial"/>
          <w:sz w:val="20"/>
          <w:szCs w:val="20"/>
        </w:rPr>
        <w:t>1</w:t>
      </w:r>
      <w:r w:rsidR="000E2E46">
        <w:rPr>
          <w:rFonts w:cs="Arial"/>
          <w:sz w:val="20"/>
          <w:szCs w:val="20"/>
        </w:rPr>
        <w:t>)</w:t>
      </w:r>
      <w:r w:rsidR="007E38C3" w:rsidRPr="00F47BE6">
        <w:rPr>
          <w:rFonts w:cs="Arial"/>
          <w:sz w:val="20"/>
          <w:szCs w:val="20"/>
        </w:rPr>
        <w:t xml:space="preserve"> and Devatha Nair</w:t>
      </w:r>
      <w:r w:rsidR="000E2E46">
        <w:rPr>
          <w:rFonts w:cs="Arial"/>
          <w:sz w:val="20"/>
          <w:szCs w:val="20"/>
        </w:rPr>
        <w:t xml:space="preserve"> (1)</w:t>
      </w:r>
      <w:r w:rsidR="007E38C3" w:rsidRPr="00F47BE6">
        <w:rPr>
          <w:rFonts w:cs="Arial"/>
          <w:sz w:val="20"/>
          <w:szCs w:val="20"/>
        </w:rPr>
        <w:br/>
      </w:r>
      <w:r w:rsidR="007E38C3" w:rsidRPr="00F47BE6">
        <w:rPr>
          <w:rFonts w:cs="Arial"/>
          <w:sz w:val="20"/>
          <w:szCs w:val="20"/>
        </w:rPr>
        <w:br/>
      </w:r>
      <w:r w:rsidR="000E2E46">
        <w:rPr>
          <w:rFonts w:cs="Arial"/>
          <w:sz w:val="20"/>
          <w:szCs w:val="20"/>
        </w:rPr>
        <w:t>(</w:t>
      </w:r>
      <w:r w:rsidR="007E38C3" w:rsidRPr="00F47BE6">
        <w:rPr>
          <w:rFonts w:cs="Arial"/>
          <w:sz w:val="20"/>
          <w:szCs w:val="20"/>
        </w:rPr>
        <w:t>1</w:t>
      </w:r>
      <w:r w:rsidR="000E2E46">
        <w:rPr>
          <w:rFonts w:cs="Arial"/>
          <w:sz w:val="20"/>
          <w:szCs w:val="20"/>
        </w:rPr>
        <w:t>)</w:t>
      </w:r>
      <w:r w:rsidR="007E38C3" w:rsidRPr="00F47BE6">
        <w:rPr>
          <w:rFonts w:cs="Arial"/>
          <w:sz w:val="20"/>
          <w:szCs w:val="20"/>
        </w:rPr>
        <w:t xml:space="preserve"> School of Dental Medicine</w:t>
      </w:r>
      <w:r w:rsidR="007E38C3" w:rsidRPr="00F47BE6">
        <w:rPr>
          <w:rFonts w:cs="Arial"/>
          <w:sz w:val="20"/>
          <w:szCs w:val="20"/>
        </w:rPr>
        <w:br/>
      </w:r>
      <w:r w:rsidR="000E2E46">
        <w:rPr>
          <w:rFonts w:cs="Arial"/>
          <w:sz w:val="20"/>
          <w:szCs w:val="20"/>
        </w:rPr>
        <w:t>(</w:t>
      </w:r>
      <w:r w:rsidR="007E38C3" w:rsidRPr="00F47BE6">
        <w:rPr>
          <w:rFonts w:cs="Arial"/>
          <w:sz w:val="20"/>
          <w:szCs w:val="20"/>
        </w:rPr>
        <w:t>2</w:t>
      </w:r>
      <w:r w:rsidR="000E2E46">
        <w:rPr>
          <w:rFonts w:cs="Arial"/>
          <w:sz w:val="20"/>
          <w:szCs w:val="20"/>
        </w:rPr>
        <w:t>)</w:t>
      </w:r>
      <w:r w:rsidR="007E38C3" w:rsidRPr="00F47BE6">
        <w:rPr>
          <w:rFonts w:cs="Arial"/>
          <w:sz w:val="20"/>
          <w:szCs w:val="20"/>
        </w:rPr>
        <w:t xml:space="preserve"> Sustainability Team, Office of Institutional Planning</w:t>
      </w:r>
    </w:p>
    <w:p w14:paraId="5E463BB3" w14:textId="77777777" w:rsidR="00002CD7" w:rsidRDefault="00002CD7" w:rsidP="00D36E11">
      <w:pPr>
        <w:spacing w:after="0" w:line="240" w:lineRule="auto"/>
        <w:rPr>
          <w:rFonts w:cs="Arial"/>
          <w:sz w:val="20"/>
          <w:szCs w:val="20"/>
        </w:rPr>
      </w:pPr>
    </w:p>
    <w:p w14:paraId="278AC0CA" w14:textId="77777777" w:rsidR="000E2E46" w:rsidRPr="00F47BE6" w:rsidRDefault="000E2E46" w:rsidP="00D36E11">
      <w:pPr>
        <w:spacing w:after="0" w:line="240" w:lineRule="auto"/>
        <w:rPr>
          <w:rFonts w:cs="Arial"/>
          <w:sz w:val="20"/>
          <w:szCs w:val="20"/>
        </w:rPr>
      </w:pPr>
    </w:p>
    <w:p w14:paraId="0BB05D15" w14:textId="0AFFECA7" w:rsidR="00002CD7" w:rsidRPr="00751DA1" w:rsidRDefault="00EC7C87" w:rsidP="00D36E11">
      <w:pPr>
        <w:spacing w:after="0" w:line="240" w:lineRule="auto"/>
        <w:rPr>
          <w:rFonts w:cs="Arial"/>
          <w:sz w:val="20"/>
          <w:szCs w:val="20"/>
          <w:u w:val="single"/>
        </w:rPr>
      </w:pPr>
      <w:r>
        <w:rPr>
          <w:rFonts w:cs="Arial"/>
          <w:b/>
          <w:sz w:val="20"/>
          <w:szCs w:val="20"/>
          <w:u w:val="single"/>
        </w:rPr>
        <w:t xml:space="preserve">31. </w:t>
      </w:r>
      <w:r w:rsidR="007E38C3" w:rsidRPr="00751DA1">
        <w:rPr>
          <w:rFonts w:cs="Arial"/>
          <w:b/>
          <w:sz w:val="20"/>
          <w:szCs w:val="20"/>
          <w:u w:val="single"/>
        </w:rPr>
        <w:t>How Far Is Too Far? Geographic Access to OB/GYN Subspecialty Care in the United States</w:t>
      </w:r>
    </w:p>
    <w:p w14:paraId="0E0A9033" w14:textId="77777777" w:rsidR="0009374E" w:rsidRDefault="0009374E" w:rsidP="00D36E11">
      <w:pPr>
        <w:spacing w:after="0" w:line="240" w:lineRule="auto"/>
        <w:rPr>
          <w:rFonts w:cs="Arial"/>
          <w:b/>
          <w:sz w:val="20"/>
          <w:szCs w:val="20"/>
        </w:rPr>
      </w:pPr>
    </w:p>
    <w:p w14:paraId="07EF92F9" w14:textId="0FA37D4C"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Tyler Muffly, Denver Health</w:t>
      </w:r>
    </w:p>
    <w:p w14:paraId="38304AA4" w14:textId="77777777" w:rsidR="0009374E" w:rsidRDefault="0009374E" w:rsidP="00D36E11">
      <w:pPr>
        <w:spacing w:after="0" w:line="240" w:lineRule="auto"/>
        <w:rPr>
          <w:rFonts w:cs="Arial"/>
          <w:sz w:val="20"/>
          <w:szCs w:val="20"/>
        </w:rPr>
      </w:pPr>
    </w:p>
    <w:p w14:paraId="0CE6119C" w14:textId="1535734E" w:rsidR="00002CD7" w:rsidRPr="00F47BE6" w:rsidRDefault="007E38C3" w:rsidP="00D36E11">
      <w:pPr>
        <w:spacing w:after="0" w:line="240" w:lineRule="auto"/>
        <w:rPr>
          <w:rFonts w:cs="Arial"/>
          <w:sz w:val="20"/>
          <w:szCs w:val="20"/>
        </w:rPr>
      </w:pPr>
      <w:r w:rsidRPr="0009374E">
        <w:rPr>
          <w:rFonts w:cs="Arial"/>
          <w:sz w:val="20"/>
          <w:szCs w:val="20"/>
          <w:u w:val="single"/>
        </w:rPr>
        <w:t>Background</w:t>
      </w:r>
      <w:r w:rsidR="0009374E" w:rsidRPr="0009374E">
        <w:rPr>
          <w:rFonts w:cs="Arial"/>
          <w:sz w:val="20"/>
          <w:szCs w:val="20"/>
          <w:u w:val="single"/>
        </w:rPr>
        <w:t>:</w:t>
      </w:r>
      <w:r w:rsidR="0009374E">
        <w:rPr>
          <w:rFonts w:cs="Arial"/>
          <w:sz w:val="20"/>
          <w:szCs w:val="20"/>
        </w:rPr>
        <w:t xml:space="preserve"> </w:t>
      </w:r>
      <w:r w:rsidRPr="00F47BE6">
        <w:rPr>
          <w:rFonts w:cs="Arial"/>
          <w:sz w:val="20"/>
          <w:szCs w:val="20"/>
        </w:rPr>
        <w:t>National physician counts can obscure whether specialty care is geographically reachable. We quantified potential travel-time access to seven board-certified obstetric-gynecologic subspecialties in the contiguous United States, evaluated change from 2013 through 2023, and examined differences by rurality and race and ethnicity.</w:t>
      </w:r>
      <w:r w:rsidRPr="00F47BE6">
        <w:rPr>
          <w:rFonts w:cs="Arial"/>
          <w:sz w:val="20"/>
          <w:szCs w:val="20"/>
        </w:rPr>
        <w:br/>
      </w:r>
      <w:r w:rsidRPr="0009374E">
        <w:rPr>
          <w:rFonts w:cs="Arial"/>
          <w:sz w:val="20"/>
          <w:szCs w:val="20"/>
          <w:u w:val="single"/>
        </w:rPr>
        <w:t>Methods</w:t>
      </w:r>
      <w:r w:rsidR="0009374E" w:rsidRPr="0009374E">
        <w:rPr>
          <w:rFonts w:cs="Arial"/>
          <w:sz w:val="20"/>
          <w:szCs w:val="20"/>
          <w:u w:val="single"/>
        </w:rPr>
        <w:t>:</w:t>
      </w:r>
      <w:r w:rsidR="0009374E">
        <w:rPr>
          <w:rFonts w:cs="Arial"/>
          <w:sz w:val="20"/>
          <w:szCs w:val="20"/>
        </w:rPr>
        <w:t xml:space="preserve"> </w:t>
      </w:r>
      <w:r w:rsidRPr="00F47BE6">
        <w:rPr>
          <w:rFonts w:cs="Arial"/>
          <w:sz w:val="20"/>
          <w:szCs w:val="20"/>
        </w:rPr>
        <w:t>We conducted a national ecological study using annual subspecialist practice locations linked from board-certification rosters to National Provider Identifier records. Census-tract female population estimates came from American Community Survey 5-year data, representing approximately 159 million women in 2013 and 166 million in 2023 across about 85,000 tracts. For each subspecialty, road-network isochrones estimated the population-weighted proportion of women living within 30, 60, 120, and 180 minutes of at least one subspecialist. American Community Survey margins of error were propagated through estimates. Temporal trends were assessed using weighted regression with heteroskedasticity- and autocorrelation-consistent standard errors. Access was also compared across rurality and racial and ethnic groups.</w:t>
      </w:r>
      <w:r w:rsidRPr="00F47BE6">
        <w:rPr>
          <w:rFonts w:cs="Arial"/>
          <w:sz w:val="20"/>
          <w:szCs w:val="20"/>
        </w:rPr>
        <w:br/>
      </w:r>
      <w:r w:rsidRPr="0009374E">
        <w:rPr>
          <w:rFonts w:cs="Arial"/>
          <w:sz w:val="20"/>
          <w:szCs w:val="20"/>
          <w:u w:val="single"/>
        </w:rPr>
        <w:t>Results</w:t>
      </w:r>
      <w:r w:rsidR="0009374E" w:rsidRPr="0009374E">
        <w:rPr>
          <w:rFonts w:cs="Arial"/>
          <w:sz w:val="20"/>
          <w:szCs w:val="20"/>
          <w:u w:val="single"/>
        </w:rPr>
        <w:t>:</w:t>
      </w:r>
      <w:r w:rsidR="0009374E">
        <w:rPr>
          <w:rFonts w:cs="Arial"/>
          <w:sz w:val="20"/>
          <w:szCs w:val="20"/>
        </w:rPr>
        <w:t xml:space="preserve"> </w:t>
      </w:r>
      <w:r w:rsidRPr="00F47BE6">
        <w:rPr>
          <w:rFonts w:cs="Arial"/>
          <w:sz w:val="20"/>
          <w:szCs w:val="20"/>
        </w:rPr>
        <w:t>The 2023 cohort included 7,620 subspecialists, ranging from 214 pediatric and adolescent gynecologists to 2,591 maternal-fetal medicine specialists. Sixty-minute access ranged from 51.2% for complex family planning to 88.3% for maternal-fetal medicine. Mean 60-minute access across the seven discipline-specific estimates increased from 71.0% (SD 15.8) in 2013 to 76.7% (SD 13.5) in 2023, a mean increase of 5.7 percentage points (SD 3.0). All seven disciplines had higher 60-minute access in 2023. Across racial categories, the highest-to-lowest difference in cross-discipline 60-minute access was 55.3 percentage points. Rurality was the strongest correlate of low access in adjusted ecological models.</w:t>
      </w:r>
      <w:r w:rsidRPr="00F47BE6">
        <w:rPr>
          <w:rFonts w:cs="Arial"/>
          <w:sz w:val="20"/>
          <w:szCs w:val="20"/>
        </w:rPr>
        <w:br/>
      </w:r>
      <w:r w:rsidRPr="0009374E">
        <w:rPr>
          <w:rFonts w:cs="Arial"/>
          <w:sz w:val="20"/>
          <w:szCs w:val="20"/>
          <w:u w:val="single"/>
        </w:rPr>
        <w:t>Discussion/Conclusions</w:t>
      </w:r>
      <w:r w:rsidR="0009374E" w:rsidRPr="0009374E">
        <w:rPr>
          <w:rFonts w:cs="Arial"/>
          <w:sz w:val="20"/>
          <w:szCs w:val="20"/>
          <w:u w:val="single"/>
        </w:rPr>
        <w:t>:</w:t>
      </w:r>
      <w:r w:rsidR="0009374E">
        <w:rPr>
          <w:rFonts w:cs="Arial"/>
          <w:sz w:val="20"/>
          <w:szCs w:val="20"/>
        </w:rPr>
        <w:t xml:space="preserve"> </w:t>
      </w:r>
      <w:r w:rsidRPr="00F47BE6">
        <w:rPr>
          <w:rFonts w:cs="Arial"/>
          <w:sz w:val="20"/>
          <w:szCs w:val="20"/>
        </w:rPr>
        <w:t>Geographic access improved modestly but remained highly uneven. Workforce planning based only on national clinician counts may miss important gaps in geographic reach. Travel-time measures can identify populations and regions where clinician distribution, referral networks, and regional capacity may require targeted investment.</w:t>
      </w:r>
    </w:p>
    <w:p w14:paraId="7AF186BB" w14:textId="77777777" w:rsidR="0009374E" w:rsidRDefault="0009374E" w:rsidP="00D36E11">
      <w:pPr>
        <w:spacing w:after="0" w:line="240" w:lineRule="auto"/>
        <w:rPr>
          <w:rFonts w:cs="Arial"/>
          <w:b/>
          <w:sz w:val="20"/>
          <w:szCs w:val="20"/>
        </w:rPr>
      </w:pPr>
    </w:p>
    <w:p w14:paraId="496098E2" w14:textId="77777777" w:rsidR="0009374E" w:rsidRDefault="009D2E22"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Tyler M. Muffly, MD</w:t>
      </w:r>
    </w:p>
    <w:p w14:paraId="41796A2B" w14:textId="77777777" w:rsidR="0009374E" w:rsidRDefault="0009374E" w:rsidP="00D36E11">
      <w:pPr>
        <w:spacing w:after="0" w:line="240" w:lineRule="auto"/>
        <w:rPr>
          <w:rFonts w:cs="Arial"/>
          <w:sz w:val="20"/>
          <w:szCs w:val="20"/>
        </w:rPr>
      </w:pPr>
    </w:p>
    <w:p w14:paraId="713E3528" w14:textId="2B03A416" w:rsidR="00002CD7" w:rsidRPr="00F47BE6" w:rsidRDefault="007E38C3" w:rsidP="00D36E11">
      <w:pPr>
        <w:spacing w:after="0" w:line="240" w:lineRule="auto"/>
        <w:rPr>
          <w:rFonts w:cs="Arial"/>
          <w:sz w:val="20"/>
          <w:szCs w:val="20"/>
        </w:rPr>
      </w:pPr>
      <w:r w:rsidRPr="00F47BE6">
        <w:rPr>
          <w:rFonts w:cs="Arial"/>
          <w:sz w:val="20"/>
          <w:szCs w:val="20"/>
        </w:rPr>
        <w:t>Division of Urogynecology and Reconstructive Pelvic Surgery, Department of Obstetrics and Gynecology, Denver Health and Hospital Authority</w:t>
      </w:r>
    </w:p>
    <w:p w14:paraId="7A8A352A" w14:textId="77777777" w:rsidR="00002CD7" w:rsidRDefault="00002CD7" w:rsidP="00D36E11">
      <w:pPr>
        <w:spacing w:after="0" w:line="240" w:lineRule="auto"/>
        <w:rPr>
          <w:rFonts w:cs="Arial"/>
          <w:sz w:val="20"/>
          <w:szCs w:val="20"/>
        </w:rPr>
      </w:pPr>
    </w:p>
    <w:p w14:paraId="25F6C362" w14:textId="77777777" w:rsidR="0009374E" w:rsidRPr="00F47BE6" w:rsidRDefault="0009374E" w:rsidP="00D36E11">
      <w:pPr>
        <w:spacing w:after="0" w:line="240" w:lineRule="auto"/>
        <w:rPr>
          <w:rFonts w:cs="Arial"/>
          <w:sz w:val="20"/>
          <w:szCs w:val="20"/>
        </w:rPr>
      </w:pPr>
    </w:p>
    <w:p w14:paraId="2326935B" w14:textId="5BA340E7" w:rsidR="00002CD7" w:rsidRPr="00751DA1" w:rsidRDefault="00EC7C87" w:rsidP="00D36E11">
      <w:pPr>
        <w:spacing w:after="0" w:line="240" w:lineRule="auto"/>
        <w:rPr>
          <w:rFonts w:cs="Arial"/>
          <w:sz w:val="20"/>
          <w:szCs w:val="20"/>
          <w:u w:val="single"/>
        </w:rPr>
      </w:pPr>
      <w:r>
        <w:rPr>
          <w:rFonts w:cs="Arial"/>
          <w:b/>
          <w:sz w:val="20"/>
          <w:szCs w:val="20"/>
          <w:u w:val="single"/>
        </w:rPr>
        <w:t xml:space="preserve">32. </w:t>
      </w:r>
      <w:r w:rsidR="007E38C3" w:rsidRPr="00751DA1">
        <w:rPr>
          <w:rFonts w:cs="Arial"/>
          <w:b/>
          <w:sz w:val="20"/>
          <w:szCs w:val="20"/>
          <w:u w:val="single"/>
        </w:rPr>
        <w:t>Does Consolidation Make You Wait? Hospital Market Concentration and Specialty Access</w:t>
      </w:r>
    </w:p>
    <w:p w14:paraId="421C4BF5" w14:textId="77777777" w:rsidR="00751DA1" w:rsidRDefault="00751DA1" w:rsidP="00D36E11">
      <w:pPr>
        <w:spacing w:after="0" w:line="240" w:lineRule="auto"/>
        <w:rPr>
          <w:rFonts w:cs="Arial"/>
          <w:b/>
          <w:sz w:val="20"/>
          <w:szCs w:val="20"/>
        </w:rPr>
      </w:pPr>
    </w:p>
    <w:p w14:paraId="19EFD0B8" w14:textId="7FD5A4B2"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Tyler Muffly, Denver Health</w:t>
      </w:r>
    </w:p>
    <w:p w14:paraId="164178DF" w14:textId="77777777" w:rsidR="00751DA1" w:rsidRDefault="00751DA1" w:rsidP="00D36E11">
      <w:pPr>
        <w:spacing w:after="0" w:line="240" w:lineRule="auto"/>
        <w:rPr>
          <w:rFonts w:cs="Arial"/>
          <w:sz w:val="20"/>
          <w:szCs w:val="20"/>
        </w:rPr>
      </w:pPr>
    </w:p>
    <w:p w14:paraId="2026E156" w14:textId="35F831A6"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751DA1" w:rsidRPr="00751DA1">
        <w:rPr>
          <w:rFonts w:cs="Arial"/>
          <w:sz w:val="20"/>
          <w:szCs w:val="20"/>
          <w:u w:val="single"/>
        </w:rPr>
        <w:t>:</w:t>
      </w:r>
      <w:r w:rsidR="00751DA1">
        <w:rPr>
          <w:rFonts w:cs="Arial"/>
          <w:sz w:val="20"/>
          <w:szCs w:val="20"/>
        </w:rPr>
        <w:t xml:space="preserve"> </w:t>
      </w:r>
      <w:r w:rsidRPr="00F47BE6">
        <w:rPr>
          <w:rFonts w:cs="Arial"/>
          <w:sz w:val="20"/>
          <w:szCs w:val="20"/>
        </w:rPr>
        <w:t>Healthcare consolidation is increasing, but its relationship with non-price access to specialty care remains poorly understood. We evaluated whether hospital-market concentration was associated with new-patient appointment attainment and wait time in outpatient otolaryngology.</w:t>
      </w:r>
      <w:r w:rsidRPr="00F47BE6">
        <w:rPr>
          <w:rFonts w:cs="Arial"/>
          <w:sz w:val="20"/>
          <w:szCs w:val="20"/>
        </w:rPr>
        <w:br/>
      </w:r>
      <w:r w:rsidRPr="00751DA1">
        <w:rPr>
          <w:rFonts w:cs="Arial"/>
          <w:sz w:val="20"/>
          <w:szCs w:val="20"/>
          <w:u w:val="single"/>
        </w:rPr>
        <w:lastRenderedPageBreak/>
        <w:t>Methods</w:t>
      </w:r>
      <w:r w:rsidR="00751DA1" w:rsidRPr="00751DA1">
        <w:rPr>
          <w:rFonts w:cs="Arial"/>
          <w:sz w:val="20"/>
          <w:szCs w:val="20"/>
          <w:u w:val="single"/>
        </w:rPr>
        <w:t>:</w:t>
      </w:r>
      <w:r w:rsidR="00751DA1">
        <w:rPr>
          <w:rFonts w:cs="Arial"/>
          <w:sz w:val="20"/>
          <w:szCs w:val="20"/>
        </w:rPr>
        <w:t xml:space="preserve"> </w:t>
      </w:r>
      <w:r w:rsidRPr="00F47BE6">
        <w:rPr>
          <w:rFonts w:cs="Arial"/>
          <w:sz w:val="20"/>
          <w:szCs w:val="20"/>
        </w:rPr>
        <w:t>We conducted a secondary geospatial analysis of a national simulated-patient audit comprising 1,212 scripted new-patient calls across 49 states. Practices were linked to metropolitan hospital-market concentration using the Herfindahl-Hirschman Index (HHI) from the Agency for Healthcare Research and Quality Compendium of U.S. Health Systems. The appointment-attainment analysis included 944 eligible calls. The conditional wait-time analysis included 545 appointments across 111 metropolitan markets. Business-day wait was modeled using call-level ordinary least squares with market-clustered standard errors. Appointment attainment was modeled with logistic regression. Inverse-probability weighting addressed selection into the wait-time sample.</w:t>
      </w:r>
      <w:r w:rsidRPr="00F47BE6">
        <w:rPr>
          <w:rFonts w:cs="Arial"/>
          <w:sz w:val="20"/>
          <w:szCs w:val="20"/>
        </w:rPr>
        <w:br/>
      </w:r>
      <w:r w:rsidRPr="00751DA1">
        <w:rPr>
          <w:rFonts w:cs="Arial"/>
          <w:sz w:val="20"/>
          <w:szCs w:val="20"/>
          <w:u w:val="single"/>
        </w:rPr>
        <w:t>Results</w:t>
      </w:r>
      <w:r w:rsidR="00751DA1" w:rsidRPr="00751DA1">
        <w:rPr>
          <w:rFonts w:cs="Arial"/>
          <w:sz w:val="20"/>
          <w:szCs w:val="20"/>
          <w:u w:val="single"/>
        </w:rPr>
        <w:t>:</w:t>
      </w:r>
      <w:r w:rsidR="00751DA1">
        <w:rPr>
          <w:rFonts w:cs="Arial"/>
          <w:sz w:val="20"/>
          <w:szCs w:val="20"/>
        </w:rPr>
        <w:t xml:space="preserve"> </w:t>
      </w:r>
      <w:r w:rsidRPr="00F47BE6">
        <w:rPr>
          <w:rFonts w:cs="Arial"/>
          <w:sz w:val="20"/>
          <w:szCs w:val="20"/>
        </w:rPr>
        <w:t>The median wait was 27 business days (IQR:15-46) and increased from 18 days in unconcentrated markets to 32 days in highly concentrated markets. Each 1,000-point increase in hospital HHI was associated with a 6.8% longer conditional wait (95% CI 1.6% to 12.3%; P=.01), equivalent to 1.9 additional days at the median and 2.2 business days after adjustment for subspecialty, rurality, and area deprivation. However, this association attenuated with equal market weighting and partial pooling and was not statistically significant in an independent cohort. Higher HHI was associated with appointment attainment in a minimally adjusted model (OR 1.12, 95% CI 1.01 to 1.24; P=.032), but not after adjustment for payer mix, income, and provider supply (OR 1.01; P=.854).</w:t>
      </w:r>
      <w:r w:rsidRPr="00F47BE6">
        <w:rPr>
          <w:rFonts w:cs="Arial"/>
          <w:sz w:val="20"/>
          <w:szCs w:val="20"/>
        </w:rPr>
        <w:br/>
      </w:r>
      <w:r w:rsidRPr="00751DA1">
        <w:rPr>
          <w:rFonts w:cs="Arial"/>
          <w:sz w:val="20"/>
          <w:szCs w:val="20"/>
          <w:u w:val="single"/>
        </w:rPr>
        <w:t>Discussi</w:t>
      </w:r>
      <w:r w:rsidR="00751DA1" w:rsidRPr="00751DA1">
        <w:rPr>
          <w:rFonts w:cs="Arial"/>
          <w:sz w:val="20"/>
          <w:szCs w:val="20"/>
          <w:u w:val="single"/>
        </w:rPr>
        <w:t>o</w:t>
      </w:r>
      <w:r w:rsidRPr="00751DA1">
        <w:rPr>
          <w:rFonts w:cs="Arial"/>
          <w:sz w:val="20"/>
          <w:szCs w:val="20"/>
          <w:u w:val="single"/>
        </w:rPr>
        <w:t>n/Conclusions</w:t>
      </w:r>
      <w:r w:rsidR="00751DA1" w:rsidRPr="00751DA1">
        <w:rPr>
          <w:rFonts w:cs="Arial"/>
          <w:sz w:val="20"/>
          <w:szCs w:val="20"/>
          <w:u w:val="single"/>
        </w:rPr>
        <w:t>:</w:t>
      </w:r>
      <w:r w:rsidR="00751DA1">
        <w:rPr>
          <w:rFonts w:cs="Arial"/>
          <w:sz w:val="20"/>
          <w:szCs w:val="20"/>
        </w:rPr>
        <w:t xml:space="preserve"> </w:t>
      </w:r>
      <w:r w:rsidRPr="00F47BE6">
        <w:rPr>
          <w:rFonts w:cs="Arial"/>
          <w:sz w:val="20"/>
          <w:szCs w:val="20"/>
        </w:rPr>
        <w:t>Hospital-market concentration may influence how long patients wait after obtaining specialty appointments, but the association was sensitive to analytic specification. Evaluations of healthcare consolidation should include non-price outcomes such as appointment attainment and timeliness, not only prices and spending.</w:t>
      </w:r>
    </w:p>
    <w:p w14:paraId="3C2C4B17" w14:textId="77777777" w:rsidR="00751DA1" w:rsidRDefault="00751DA1" w:rsidP="00D36E11">
      <w:pPr>
        <w:spacing w:after="0" w:line="240" w:lineRule="auto"/>
        <w:rPr>
          <w:rFonts w:cs="Arial"/>
          <w:b/>
          <w:sz w:val="20"/>
          <w:szCs w:val="20"/>
        </w:rPr>
      </w:pPr>
    </w:p>
    <w:p w14:paraId="0E9F6674" w14:textId="7508383C" w:rsidR="00002CD7" w:rsidRDefault="009D2E22"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Ty J. Skyles, MS-2</w:t>
      </w:r>
      <w:r w:rsidR="000E2E46">
        <w:rPr>
          <w:rFonts w:cs="Arial"/>
          <w:sz w:val="20"/>
          <w:szCs w:val="20"/>
        </w:rPr>
        <w:t xml:space="preserve"> (1)</w:t>
      </w:r>
      <w:r w:rsidR="007E38C3" w:rsidRPr="00F47BE6">
        <w:rPr>
          <w:rFonts w:cs="Arial"/>
          <w:sz w:val="20"/>
          <w:szCs w:val="20"/>
        </w:rPr>
        <w:t>, Tyler M. Muffly, MD</w:t>
      </w:r>
      <w:r w:rsidR="000E2E46">
        <w:rPr>
          <w:rFonts w:cs="Arial"/>
          <w:sz w:val="20"/>
          <w:szCs w:val="20"/>
        </w:rPr>
        <w:t xml:space="preserve"> (2)</w:t>
      </w:r>
      <w:r w:rsidR="007E38C3" w:rsidRPr="00F47BE6">
        <w:rPr>
          <w:rFonts w:cs="Arial"/>
          <w:sz w:val="20"/>
          <w:szCs w:val="20"/>
        </w:rPr>
        <w:t>, Cristina Cabrera-Muffly, MD</w:t>
      </w:r>
      <w:r w:rsidR="000E2E46">
        <w:rPr>
          <w:rFonts w:cs="Arial"/>
          <w:sz w:val="20"/>
          <w:szCs w:val="20"/>
        </w:rPr>
        <w:t xml:space="preserve"> (3)</w:t>
      </w:r>
    </w:p>
    <w:p w14:paraId="6E9EDCF4" w14:textId="77777777" w:rsidR="000E2E46" w:rsidRDefault="000E2E46" w:rsidP="00D36E11">
      <w:pPr>
        <w:spacing w:after="0" w:line="240" w:lineRule="auto"/>
        <w:rPr>
          <w:rFonts w:cs="Arial"/>
          <w:sz w:val="20"/>
          <w:szCs w:val="20"/>
        </w:rPr>
      </w:pPr>
    </w:p>
    <w:p w14:paraId="5D4FE63B" w14:textId="77777777" w:rsidR="000E2E46" w:rsidRPr="000E2E46" w:rsidRDefault="000E2E46" w:rsidP="00D36E11">
      <w:pPr>
        <w:widowControl w:val="0"/>
        <w:autoSpaceDE w:val="0"/>
        <w:autoSpaceDN w:val="0"/>
        <w:spacing w:after="0" w:line="240" w:lineRule="auto"/>
        <w:rPr>
          <w:rFonts w:eastAsia="Arial" w:cs="Arial"/>
          <w:sz w:val="20"/>
          <w:szCs w:val="20"/>
          <w:lang w:bidi="en-US"/>
        </w:rPr>
      </w:pPr>
      <w:r w:rsidRPr="000E2E46">
        <w:rPr>
          <w:rFonts w:eastAsia="Arial" w:cs="Arial"/>
          <w:sz w:val="20"/>
          <w:szCs w:val="20"/>
          <w:lang w:bidi="en-US"/>
        </w:rPr>
        <w:t>(1) Mayo Clinic Alix School of Medicine</w:t>
      </w:r>
    </w:p>
    <w:p w14:paraId="5D4048F0" w14:textId="77777777" w:rsidR="000E2E46" w:rsidRPr="000E2E46" w:rsidRDefault="000E2E46" w:rsidP="00D36E11">
      <w:pPr>
        <w:widowControl w:val="0"/>
        <w:autoSpaceDE w:val="0"/>
        <w:autoSpaceDN w:val="0"/>
        <w:spacing w:after="0" w:line="240" w:lineRule="auto"/>
        <w:rPr>
          <w:rFonts w:eastAsia="Arial" w:cs="Arial"/>
          <w:sz w:val="20"/>
          <w:szCs w:val="20"/>
          <w:lang w:bidi="en-US"/>
        </w:rPr>
      </w:pPr>
      <w:r w:rsidRPr="000E2E46">
        <w:rPr>
          <w:rFonts w:eastAsia="Arial" w:cs="Arial"/>
          <w:sz w:val="20"/>
          <w:szCs w:val="20"/>
          <w:lang w:bidi="en-US"/>
        </w:rPr>
        <w:t>(2) Division of Urogynecology and Reconstructive Pelvic Surgery, Department of Obstetrics and Gynecology, Denver Health and Hospital Authority</w:t>
      </w:r>
    </w:p>
    <w:p w14:paraId="063B016C" w14:textId="77777777" w:rsidR="000E2E46" w:rsidRPr="000E2E46" w:rsidRDefault="000E2E46" w:rsidP="00D36E11">
      <w:pPr>
        <w:widowControl w:val="0"/>
        <w:autoSpaceDE w:val="0"/>
        <w:autoSpaceDN w:val="0"/>
        <w:spacing w:after="0" w:line="240" w:lineRule="auto"/>
        <w:rPr>
          <w:rFonts w:eastAsia="Arial" w:cs="Arial"/>
          <w:sz w:val="20"/>
          <w:szCs w:val="20"/>
          <w:lang w:bidi="en-US"/>
        </w:rPr>
      </w:pPr>
      <w:r w:rsidRPr="000E2E46">
        <w:rPr>
          <w:rFonts w:eastAsia="Arial" w:cs="Arial"/>
          <w:sz w:val="20"/>
          <w:szCs w:val="20"/>
          <w:lang w:bidi="en-US"/>
        </w:rPr>
        <w:t>(3) Department of Otolaryngology Head and Neck Surgery, University of Colorado School of Medicine</w:t>
      </w:r>
    </w:p>
    <w:p w14:paraId="5B2C4BB5" w14:textId="77777777" w:rsidR="000E2E46" w:rsidRPr="00F47BE6" w:rsidRDefault="000E2E46" w:rsidP="00D36E11">
      <w:pPr>
        <w:spacing w:after="0" w:line="240" w:lineRule="auto"/>
        <w:rPr>
          <w:rFonts w:cs="Arial"/>
          <w:sz w:val="20"/>
          <w:szCs w:val="20"/>
        </w:rPr>
      </w:pPr>
    </w:p>
    <w:p w14:paraId="142A2B30" w14:textId="77777777" w:rsidR="00002CD7" w:rsidRPr="00F47BE6" w:rsidRDefault="00002CD7" w:rsidP="00D36E11">
      <w:pPr>
        <w:spacing w:after="0" w:line="240" w:lineRule="auto"/>
        <w:rPr>
          <w:rFonts w:cs="Arial"/>
          <w:sz w:val="20"/>
          <w:szCs w:val="20"/>
        </w:rPr>
      </w:pPr>
    </w:p>
    <w:p w14:paraId="4D4DCAC1" w14:textId="00112C16" w:rsidR="00002CD7" w:rsidRPr="00221118" w:rsidRDefault="0090339C" w:rsidP="00D36E11">
      <w:pPr>
        <w:spacing w:after="0" w:line="240" w:lineRule="auto"/>
        <w:rPr>
          <w:rFonts w:cs="Arial"/>
          <w:sz w:val="20"/>
          <w:szCs w:val="20"/>
          <w:u w:val="single"/>
        </w:rPr>
      </w:pPr>
      <w:r>
        <w:rPr>
          <w:rFonts w:cs="Arial"/>
          <w:b/>
          <w:sz w:val="20"/>
          <w:szCs w:val="20"/>
          <w:u w:val="single"/>
        </w:rPr>
        <w:t xml:space="preserve">33. </w:t>
      </w:r>
      <w:r w:rsidR="007E38C3" w:rsidRPr="00221118">
        <w:rPr>
          <w:rFonts w:cs="Arial"/>
          <w:b/>
          <w:sz w:val="20"/>
          <w:szCs w:val="20"/>
          <w:u w:val="single"/>
        </w:rPr>
        <w:t>Addressing Skepticism of Personalized Cancer Risk Information among Black Women</w:t>
      </w:r>
    </w:p>
    <w:p w14:paraId="4DC92136" w14:textId="77777777" w:rsidR="00221118" w:rsidRDefault="00221118" w:rsidP="00D36E11">
      <w:pPr>
        <w:spacing w:after="0" w:line="240" w:lineRule="auto"/>
        <w:rPr>
          <w:rFonts w:cs="Arial"/>
          <w:b/>
          <w:sz w:val="20"/>
          <w:szCs w:val="20"/>
        </w:rPr>
      </w:pPr>
    </w:p>
    <w:p w14:paraId="3C682328" w14:textId="55E503A1"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Emily Vidal, University of Colorado School of Medicine</w:t>
      </w:r>
    </w:p>
    <w:p w14:paraId="3E79DCA6" w14:textId="77777777" w:rsidR="00221118" w:rsidRDefault="00221118" w:rsidP="00D36E11">
      <w:pPr>
        <w:spacing w:after="0" w:line="240" w:lineRule="auto"/>
        <w:rPr>
          <w:rFonts w:cs="Arial"/>
          <w:sz w:val="20"/>
          <w:szCs w:val="20"/>
        </w:rPr>
      </w:pPr>
    </w:p>
    <w:p w14:paraId="02199598" w14:textId="208EC882" w:rsidR="00002CD7" w:rsidRPr="00F47BE6" w:rsidRDefault="00221118" w:rsidP="00D36E11">
      <w:pPr>
        <w:spacing w:after="0" w:line="240" w:lineRule="auto"/>
        <w:rPr>
          <w:rFonts w:cs="Arial"/>
          <w:sz w:val="20"/>
          <w:szCs w:val="20"/>
        </w:rPr>
      </w:pPr>
      <w:r w:rsidRPr="00221118">
        <w:rPr>
          <w:rFonts w:cs="Arial"/>
          <w:sz w:val="20"/>
          <w:szCs w:val="20"/>
          <w:u w:val="single"/>
        </w:rPr>
        <w:t>Background</w:t>
      </w:r>
      <w:r w:rsidR="007E38C3" w:rsidRPr="00221118">
        <w:rPr>
          <w:rFonts w:cs="Arial"/>
          <w:sz w:val="20"/>
          <w:szCs w:val="20"/>
          <w:u w:val="single"/>
        </w:rPr>
        <w:t>:</w:t>
      </w:r>
      <w:r w:rsidR="007E38C3" w:rsidRPr="00F47BE6">
        <w:rPr>
          <w:rFonts w:cs="Arial"/>
          <w:sz w:val="20"/>
          <w:szCs w:val="20"/>
        </w:rPr>
        <w:t xml:space="preserve"> Breast cancer risk models offer individualized risk estimates, yet many women respond with skepticism. This study examined skepticism toward Gail model breast cancer risk estimates among U.S. Black women and explored psychological contributors. We hypothesized that skepticism would be associated with healthcare mistrust, affective responses to the estimate, conflicting prior knowledge, family history of breast cancer, and literacy/numeracy levels. </w:t>
      </w:r>
      <w:r w:rsidR="007E38C3" w:rsidRPr="00F47BE6">
        <w:rPr>
          <w:rFonts w:cs="Arial"/>
          <w:sz w:val="20"/>
          <w:szCs w:val="20"/>
        </w:rPr>
        <w:br/>
      </w:r>
      <w:r w:rsidR="007E38C3" w:rsidRPr="00221118">
        <w:rPr>
          <w:rFonts w:cs="Arial"/>
          <w:sz w:val="20"/>
          <w:szCs w:val="20"/>
          <w:u w:val="single"/>
        </w:rPr>
        <w:t>Methods:</w:t>
      </w:r>
      <w:r w:rsidR="007E38C3" w:rsidRPr="00F47BE6">
        <w:rPr>
          <w:rFonts w:cs="Arial"/>
          <w:sz w:val="20"/>
          <w:szCs w:val="20"/>
        </w:rPr>
        <w:t xml:space="preserve"> Black women aged 39–74 completed an online U.S. survey (April–May 2025). Participants (N=694; M age=55.8) received their personalized 10-year Gail model risk and were told whether it was lower, higher, or </w:t>
      </w:r>
      <w:proofErr w:type="gramStart"/>
      <w:r w:rsidR="007E38C3" w:rsidRPr="00F47BE6">
        <w:rPr>
          <w:rFonts w:cs="Arial"/>
          <w:sz w:val="20"/>
          <w:szCs w:val="20"/>
        </w:rPr>
        <w:t>similar to</w:t>
      </w:r>
      <w:proofErr w:type="gramEnd"/>
      <w:r w:rsidR="007E38C3" w:rsidRPr="00F47BE6">
        <w:rPr>
          <w:rFonts w:cs="Arial"/>
          <w:sz w:val="20"/>
          <w:szCs w:val="20"/>
        </w:rPr>
        <w:t xml:space="preserve"> that of the general population. They then reported what they believed their own risk to be. Responses were categorized as over-estimators, under-estimators, or acceptors. Measures included medical mistrust, emotional reactions (anger, anxiety, relief)</w:t>
      </w:r>
      <w:proofErr w:type="gramStart"/>
      <w:r w:rsidR="007E38C3" w:rsidRPr="00F47BE6">
        <w:rPr>
          <w:rFonts w:cs="Arial"/>
          <w:sz w:val="20"/>
          <w:szCs w:val="20"/>
        </w:rPr>
        <w:t>, information</w:t>
      </w:r>
      <w:proofErr w:type="gramEnd"/>
      <w:r w:rsidR="007E38C3" w:rsidRPr="00F47BE6">
        <w:rPr>
          <w:rFonts w:cs="Arial"/>
          <w:sz w:val="20"/>
          <w:szCs w:val="20"/>
        </w:rPr>
        <w:t xml:space="preserve"> conflict, extended family cancer history, and subjective literacy/numeracy. Multinomial logistic regression examined factors associated with skepticism using acceptors as the reference group. </w:t>
      </w:r>
      <w:r w:rsidR="007E38C3" w:rsidRPr="00F47BE6">
        <w:rPr>
          <w:rFonts w:cs="Arial"/>
          <w:sz w:val="20"/>
          <w:szCs w:val="20"/>
        </w:rPr>
        <w:br/>
      </w:r>
      <w:r w:rsidR="007E38C3" w:rsidRPr="00221118">
        <w:rPr>
          <w:rFonts w:cs="Arial"/>
          <w:sz w:val="20"/>
          <w:szCs w:val="20"/>
          <w:u w:val="single"/>
        </w:rPr>
        <w:t>Results:</w:t>
      </w:r>
      <w:r w:rsidR="007E38C3" w:rsidRPr="00F47BE6">
        <w:rPr>
          <w:rFonts w:cs="Arial"/>
          <w:sz w:val="20"/>
          <w:szCs w:val="20"/>
        </w:rPr>
        <w:t xml:space="preserve"> Skepticism was common: 51% were under-estimators and 18% over-estimators. Lower medical mistrust and greater relief were associated with lower odds of disagreeing with the estimate. Over-estimators, but not under-estimators, reported more anger and anxiety. Over-estimators were also more likely to report broader family history of breast cancer. Skepticism was associated with lower subjective literacy but not numeracy. </w:t>
      </w:r>
      <w:r w:rsidR="007E38C3" w:rsidRPr="00F47BE6">
        <w:rPr>
          <w:rFonts w:cs="Arial"/>
          <w:sz w:val="20"/>
          <w:szCs w:val="20"/>
        </w:rPr>
        <w:br/>
      </w:r>
      <w:r w:rsidR="007E38C3" w:rsidRPr="00221118">
        <w:rPr>
          <w:rFonts w:cs="Arial"/>
          <w:sz w:val="20"/>
          <w:szCs w:val="20"/>
          <w:u w:val="single"/>
        </w:rPr>
        <w:t>Conclusions:</w:t>
      </w:r>
      <w:r w:rsidR="007E38C3" w:rsidRPr="00F47BE6">
        <w:rPr>
          <w:rFonts w:cs="Arial"/>
          <w:sz w:val="20"/>
          <w:szCs w:val="20"/>
        </w:rPr>
        <w:t xml:space="preserve"> Many Black women were skeptical of their personalized breast cancer risk estimates. Medical mistrust, emotional responses, and family history may shape these perceptions. Interventions that help women interpret and emotionally process personalized risk information may support informed screening decisions.</w:t>
      </w:r>
    </w:p>
    <w:p w14:paraId="6FDC98A3" w14:textId="77777777" w:rsidR="00221118" w:rsidRDefault="00221118" w:rsidP="00D36E11">
      <w:pPr>
        <w:spacing w:after="0" w:line="240" w:lineRule="auto"/>
        <w:rPr>
          <w:rFonts w:cs="Arial"/>
          <w:b/>
          <w:sz w:val="20"/>
          <w:szCs w:val="20"/>
        </w:rPr>
      </w:pPr>
    </w:p>
    <w:p w14:paraId="0ACAA354" w14:textId="0F0629D9" w:rsidR="00674AE1"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Laura D. Scherer</w:t>
      </w:r>
      <w:r w:rsidR="00674AE1">
        <w:rPr>
          <w:rFonts w:cs="Arial"/>
          <w:sz w:val="20"/>
          <w:szCs w:val="20"/>
        </w:rPr>
        <w:t xml:space="preserve"> (1), </w:t>
      </w:r>
      <w:r w:rsidR="007E38C3" w:rsidRPr="00F47BE6">
        <w:rPr>
          <w:rFonts w:cs="Arial"/>
          <w:sz w:val="20"/>
          <w:szCs w:val="20"/>
        </w:rPr>
        <w:t xml:space="preserve">Ashley J. Housten </w:t>
      </w:r>
      <w:r w:rsidR="00674AE1">
        <w:rPr>
          <w:rFonts w:cs="Arial"/>
          <w:sz w:val="20"/>
          <w:szCs w:val="20"/>
        </w:rPr>
        <w:t xml:space="preserve">(2), </w:t>
      </w:r>
      <w:r w:rsidR="007E38C3" w:rsidRPr="00F47BE6">
        <w:rPr>
          <w:rFonts w:cs="Arial"/>
          <w:sz w:val="20"/>
          <w:szCs w:val="20"/>
        </w:rPr>
        <w:t>Channing E. Tate</w:t>
      </w:r>
      <w:r w:rsidR="00674AE1">
        <w:rPr>
          <w:rFonts w:cs="Arial"/>
          <w:sz w:val="20"/>
          <w:szCs w:val="20"/>
        </w:rPr>
        <w:t xml:space="preserve"> (1), </w:t>
      </w:r>
      <w:r w:rsidR="007E38C3" w:rsidRPr="00F47BE6">
        <w:rPr>
          <w:rFonts w:cs="Arial"/>
          <w:sz w:val="20"/>
          <w:szCs w:val="20"/>
        </w:rPr>
        <w:t xml:space="preserve">Carmen Lewis </w:t>
      </w:r>
      <w:r w:rsidR="00674AE1">
        <w:rPr>
          <w:rFonts w:cs="Arial"/>
          <w:sz w:val="20"/>
          <w:szCs w:val="20"/>
        </w:rPr>
        <w:t xml:space="preserve">(1). </w:t>
      </w:r>
      <w:r w:rsidR="007E38C3" w:rsidRPr="00F47BE6">
        <w:rPr>
          <w:rFonts w:cs="Arial"/>
          <w:sz w:val="20"/>
          <w:szCs w:val="20"/>
        </w:rPr>
        <w:t xml:space="preserve">Jennifer M. Taber </w:t>
      </w:r>
      <w:r w:rsidR="00674AE1">
        <w:rPr>
          <w:rFonts w:cs="Arial"/>
          <w:sz w:val="20"/>
          <w:szCs w:val="20"/>
        </w:rPr>
        <w:t xml:space="preserve">(3), </w:t>
      </w:r>
      <w:r w:rsidR="007E38C3" w:rsidRPr="00F47BE6">
        <w:rPr>
          <w:rFonts w:cs="Arial"/>
          <w:sz w:val="20"/>
          <w:szCs w:val="20"/>
        </w:rPr>
        <w:t xml:space="preserve">Heather L. Smyth </w:t>
      </w:r>
      <w:r w:rsidR="00674AE1">
        <w:rPr>
          <w:rFonts w:cs="Arial"/>
          <w:sz w:val="20"/>
          <w:szCs w:val="20"/>
        </w:rPr>
        <w:t xml:space="preserve">(4), </w:t>
      </w:r>
      <w:r w:rsidR="007E38C3" w:rsidRPr="00F47BE6">
        <w:rPr>
          <w:rFonts w:cs="Arial"/>
          <w:sz w:val="20"/>
          <w:szCs w:val="20"/>
        </w:rPr>
        <w:t xml:space="preserve">Guannan Shen </w:t>
      </w:r>
      <w:r w:rsidR="00674AE1">
        <w:rPr>
          <w:rFonts w:cs="Arial"/>
          <w:sz w:val="20"/>
          <w:szCs w:val="20"/>
        </w:rPr>
        <w:t xml:space="preserve">(1), </w:t>
      </w:r>
      <w:r w:rsidR="007E38C3" w:rsidRPr="00F47BE6">
        <w:rPr>
          <w:rFonts w:cs="Arial"/>
          <w:sz w:val="20"/>
          <w:szCs w:val="20"/>
        </w:rPr>
        <w:t xml:space="preserve">Erika A. Waters </w:t>
      </w:r>
      <w:r w:rsidR="00674AE1">
        <w:rPr>
          <w:rFonts w:cs="Arial"/>
          <w:sz w:val="20"/>
          <w:szCs w:val="20"/>
        </w:rPr>
        <w:t>(2)</w:t>
      </w:r>
    </w:p>
    <w:p w14:paraId="631F93A9" w14:textId="77777777" w:rsidR="00674AE1" w:rsidRDefault="00674AE1" w:rsidP="00D36E11">
      <w:pPr>
        <w:spacing w:after="0" w:line="240" w:lineRule="auto"/>
        <w:rPr>
          <w:rFonts w:cs="Arial"/>
          <w:sz w:val="20"/>
          <w:szCs w:val="20"/>
        </w:rPr>
      </w:pPr>
    </w:p>
    <w:p w14:paraId="1E3BEF43" w14:textId="77777777" w:rsidR="00674AE1" w:rsidRPr="00674AE1" w:rsidRDefault="00674AE1" w:rsidP="00D36E11">
      <w:pPr>
        <w:spacing w:after="0" w:line="240" w:lineRule="auto"/>
        <w:rPr>
          <w:rFonts w:cs="Arial"/>
          <w:sz w:val="20"/>
          <w:szCs w:val="20"/>
        </w:rPr>
      </w:pPr>
      <w:r w:rsidRPr="00674AE1">
        <w:rPr>
          <w:rFonts w:cs="Arial"/>
          <w:sz w:val="20"/>
          <w:szCs w:val="20"/>
        </w:rPr>
        <w:t>(1) Adult and Child Center for Outcomes Research and Delivery Science (ACCORDS), University of Colorado School of Medicine</w:t>
      </w:r>
    </w:p>
    <w:p w14:paraId="7C56B228" w14:textId="77777777" w:rsidR="00674AE1" w:rsidRPr="00674AE1" w:rsidRDefault="00674AE1" w:rsidP="00D36E11">
      <w:pPr>
        <w:spacing w:after="0" w:line="240" w:lineRule="auto"/>
        <w:rPr>
          <w:rFonts w:cs="Arial"/>
          <w:sz w:val="20"/>
          <w:szCs w:val="20"/>
        </w:rPr>
      </w:pPr>
      <w:r w:rsidRPr="00674AE1">
        <w:rPr>
          <w:rFonts w:cs="Arial"/>
          <w:sz w:val="20"/>
          <w:szCs w:val="20"/>
        </w:rPr>
        <w:t>(2) Division of Public Health Sciences, Department of Surgery, Washington University School of Medicine</w:t>
      </w:r>
    </w:p>
    <w:p w14:paraId="24FD9A0D" w14:textId="77777777" w:rsidR="00674AE1" w:rsidRPr="00674AE1" w:rsidRDefault="00674AE1" w:rsidP="00D36E11">
      <w:pPr>
        <w:spacing w:after="0" w:line="240" w:lineRule="auto"/>
        <w:rPr>
          <w:rFonts w:cs="Arial"/>
          <w:sz w:val="20"/>
          <w:szCs w:val="20"/>
        </w:rPr>
      </w:pPr>
      <w:r w:rsidRPr="00674AE1">
        <w:rPr>
          <w:rFonts w:cs="Arial"/>
          <w:sz w:val="20"/>
          <w:szCs w:val="20"/>
        </w:rPr>
        <w:t>(3) Department of Psychological Sciences, Kent State University</w:t>
      </w:r>
    </w:p>
    <w:p w14:paraId="2A8C9673" w14:textId="04039B39" w:rsidR="00002CD7" w:rsidRPr="00F47BE6" w:rsidRDefault="00674AE1" w:rsidP="00D36E11">
      <w:pPr>
        <w:spacing w:after="0" w:line="240" w:lineRule="auto"/>
        <w:rPr>
          <w:rFonts w:cs="Arial"/>
          <w:sz w:val="20"/>
          <w:szCs w:val="20"/>
        </w:rPr>
      </w:pPr>
      <w:r w:rsidRPr="00674AE1">
        <w:rPr>
          <w:rFonts w:cs="Arial"/>
          <w:sz w:val="20"/>
          <w:szCs w:val="20"/>
        </w:rPr>
        <w:lastRenderedPageBreak/>
        <w:t>(4) Department of Biostatistics and Informatics, Colorado School of Public Health, University of Colorado-Denver Anschutz</w:t>
      </w:r>
    </w:p>
    <w:p w14:paraId="6E749663" w14:textId="77777777" w:rsidR="00002CD7" w:rsidRDefault="00002CD7" w:rsidP="00D36E11">
      <w:pPr>
        <w:spacing w:after="0" w:line="240" w:lineRule="auto"/>
        <w:rPr>
          <w:rFonts w:cs="Arial"/>
          <w:sz w:val="20"/>
          <w:szCs w:val="20"/>
        </w:rPr>
      </w:pPr>
    </w:p>
    <w:p w14:paraId="220AB930" w14:textId="77777777" w:rsidR="00674AE1" w:rsidRPr="00F47BE6" w:rsidRDefault="00674AE1" w:rsidP="00D36E11">
      <w:pPr>
        <w:spacing w:after="0" w:line="240" w:lineRule="auto"/>
        <w:rPr>
          <w:rFonts w:cs="Arial"/>
          <w:sz w:val="20"/>
          <w:szCs w:val="20"/>
        </w:rPr>
      </w:pPr>
    </w:p>
    <w:p w14:paraId="76CDF978" w14:textId="65C0B025" w:rsidR="00002CD7" w:rsidRPr="00221118" w:rsidRDefault="00B25015" w:rsidP="00D36E11">
      <w:pPr>
        <w:spacing w:after="0" w:line="240" w:lineRule="auto"/>
        <w:rPr>
          <w:rFonts w:cs="Arial"/>
          <w:sz w:val="20"/>
          <w:szCs w:val="20"/>
          <w:u w:val="single"/>
        </w:rPr>
      </w:pPr>
      <w:r>
        <w:rPr>
          <w:rFonts w:cs="Arial"/>
          <w:b/>
          <w:sz w:val="20"/>
          <w:szCs w:val="20"/>
          <w:u w:val="single"/>
        </w:rPr>
        <w:t xml:space="preserve">34. </w:t>
      </w:r>
      <w:r w:rsidR="007E38C3" w:rsidRPr="00221118">
        <w:rPr>
          <w:rFonts w:cs="Arial"/>
          <w:b/>
          <w:sz w:val="20"/>
          <w:szCs w:val="20"/>
          <w:u w:val="single"/>
        </w:rPr>
        <w:t>Measuring Caregiver and Navigator Preferences to Improve a Pediatric ADHD Family Navigator Intervention</w:t>
      </w:r>
    </w:p>
    <w:p w14:paraId="165DE1B5" w14:textId="77777777" w:rsidR="00221118" w:rsidRDefault="00221118" w:rsidP="00D36E11">
      <w:pPr>
        <w:spacing w:after="0" w:line="240" w:lineRule="auto"/>
        <w:rPr>
          <w:rFonts w:cs="Arial"/>
          <w:b/>
          <w:sz w:val="20"/>
          <w:szCs w:val="20"/>
        </w:rPr>
      </w:pPr>
    </w:p>
    <w:p w14:paraId="56E8755E" w14:textId="4621B65D"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Surya Verma, University of Colorado School of Medicine</w:t>
      </w:r>
    </w:p>
    <w:p w14:paraId="2235DC23" w14:textId="77777777" w:rsidR="00221118" w:rsidRDefault="00221118" w:rsidP="00D36E11">
      <w:pPr>
        <w:spacing w:after="0" w:line="240" w:lineRule="auto"/>
        <w:rPr>
          <w:rFonts w:cs="Arial"/>
          <w:sz w:val="20"/>
          <w:szCs w:val="20"/>
        </w:rPr>
      </w:pPr>
    </w:p>
    <w:p w14:paraId="2EEB6BE5" w14:textId="759E33D4" w:rsidR="00002CD7" w:rsidRPr="00F47BE6" w:rsidRDefault="007E38C3" w:rsidP="00D36E11">
      <w:pPr>
        <w:spacing w:after="0" w:line="240" w:lineRule="auto"/>
        <w:rPr>
          <w:rFonts w:cs="Arial"/>
          <w:sz w:val="20"/>
          <w:szCs w:val="20"/>
        </w:rPr>
      </w:pPr>
      <w:r w:rsidRPr="00221118">
        <w:rPr>
          <w:rFonts w:cs="Arial"/>
          <w:sz w:val="20"/>
          <w:szCs w:val="20"/>
          <w:u w:val="single"/>
        </w:rPr>
        <w:t>Background</w:t>
      </w:r>
      <w:r w:rsidR="00221118" w:rsidRPr="00221118">
        <w:rPr>
          <w:rFonts w:cs="Arial"/>
          <w:sz w:val="20"/>
          <w:szCs w:val="20"/>
          <w:u w:val="single"/>
        </w:rPr>
        <w:t>:</w:t>
      </w:r>
      <w:r w:rsidR="00221118">
        <w:rPr>
          <w:rFonts w:cs="Arial"/>
          <w:sz w:val="20"/>
          <w:szCs w:val="20"/>
        </w:rPr>
        <w:t xml:space="preserve"> </w:t>
      </w:r>
      <w:r w:rsidRPr="00F47BE6">
        <w:rPr>
          <w:rFonts w:cs="Arial"/>
          <w:sz w:val="20"/>
          <w:szCs w:val="20"/>
        </w:rPr>
        <w:t>Attention-deficit/hyperactivity disorder (ADHD) is a common pediatric neurodevelopmental disorder, yet many children from underserved families experience barriers to initiating and maintaining evidence-based treatment. Language barriers, costs, lack of transportation, and other barriers can limit access to care and contribute to disparities in treatment initiation and adherence.</w:t>
      </w:r>
      <w:r w:rsidRPr="00F47BE6">
        <w:rPr>
          <w:rFonts w:cs="Arial"/>
          <w:sz w:val="20"/>
          <w:szCs w:val="20"/>
        </w:rPr>
        <w:br/>
        <w:t xml:space="preserve">This study aims to inform the design of an ADHD multilingual family navigator intervention by assessing the preferences of caregiver and navigator for key program features. </w:t>
      </w:r>
      <w:r w:rsidRPr="00F47BE6">
        <w:rPr>
          <w:rFonts w:cs="Arial"/>
          <w:sz w:val="20"/>
          <w:szCs w:val="20"/>
        </w:rPr>
        <w:br/>
      </w:r>
      <w:r w:rsidRPr="00221118">
        <w:rPr>
          <w:rFonts w:cs="Arial"/>
          <w:sz w:val="20"/>
          <w:szCs w:val="20"/>
          <w:u w:val="single"/>
        </w:rPr>
        <w:t>Methods</w:t>
      </w:r>
      <w:r w:rsidR="00221118" w:rsidRPr="00221118">
        <w:rPr>
          <w:rFonts w:cs="Arial"/>
          <w:sz w:val="20"/>
          <w:szCs w:val="20"/>
          <w:u w:val="single"/>
        </w:rPr>
        <w:t>:</w:t>
      </w:r>
      <w:r w:rsidR="00221118">
        <w:rPr>
          <w:rFonts w:cs="Arial"/>
          <w:sz w:val="20"/>
          <w:szCs w:val="20"/>
        </w:rPr>
        <w:t xml:space="preserve"> </w:t>
      </w:r>
      <w:r w:rsidRPr="00F47BE6">
        <w:rPr>
          <w:rFonts w:cs="Arial"/>
          <w:sz w:val="20"/>
          <w:szCs w:val="20"/>
        </w:rPr>
        <w:t>We developed a stated-preference elicitation survey containing a discrete choice experiment (DCE) to evaluate trade-offs related to attributes, such as frequency and duration of navigator contact, mode of communication (in-person versus virtual), and financial incentive levels. This survey will be administered to navigator and parent participants from Black or Latine communities enrolled in an existing ADHD family navigation pilot study ​based in Cincinnati, Ohio. We will conduct conditional logistic regression and latent class analysis to report preference outcomes. This study is guided by the ISPOR Good Research Practices for Conjoint Analysis Task Force.</w:t>
      </w:r>
      <w:r w:rsidRPr="00F47BE6">
        <w:rPr>
          <w:rFonts w:cs="Arial"/>
          <w:sz w:val="20"/>
          <w:szCs w:val="20"/>
        </w:rPr>
        <w:br/>
      </w:r>
      <w:r w:rsidRPr="00221118">
        <w:rPr>
          <w:rFonts w:cs="Arial"/>
          <w:sz w:val="20"/>
          <w:szCs w:val="20"/>
          <w:u w:val="single"/>
        </w:rPr>
        <w:t>Results</w:t>
      </w:r>
      <w:r w:rsidR="00221118" w:rsidRPr="00221118">
        <w:rPr>
          <w:rFonts w:cs="Arial"/>
          <w:sz w:val="20"/>
          <w:szCs w:val="20"/>
          <w:u w:val="single"/>
        </w:rPr>
        <w:t>:</w:t>
      </w:r>
      <w:r w:rsidR="00221118">
        <w:rPr>
          <w:rFonts w:cs="Arial"/>
          <w:sz w:val="20"/>
          <w:szCs w:val="20"/>
        </w:rPr>
        <w:t xml:space="preserve"> </w:t>
      </w:r>
      <w:r w:rsidRPr="00F47BE6">
        <w:rPr>
          <w:rFonts w:cs="Arial"/>
          <w:sz w:val="20"/>
          <w:szCs w:val="20"/>
        </w:rPr>
        <w:t xml:space="preserve">The survey instrument is currently in the stage of refinement and includes the following components: consent form, introduction including an infographic of the ADHD family navigation program, description of attributes and their levels, scenario guidance for framing the completion of the DCE, discrete choice tasks, and concluding with participant questions on demographics, beliefs about medicine, perceptions of illness, and implementation outcomes (i.e., feasibility, acceptability, and appropriateness). To refine the survey further, we will conduct qualitative cognitive debriefings and "think aloud" exercise with a pilot sample of navigators and parents. Then, the survey will be fielded </w:t>
      </w:r>
      <w:proofErr w:type="gramStart"/>
      <w:r w:rsidRPr="00F47BE6">
        <w:rPr>
          <w:rFonts w:cs="Arial"/>
          <w:sz w:val="20"/>
          <w:szCs w:val="20"/>
        </w:rPr>
        <w:t>to</w:t>
      </w:r>
      <w:proofErr w:type="gramEnd"/>
      <w:r w:rsidRPr="00F47BE6">
        <w:rPr>
          <w:rFonts w:cs="Arial"/>
          <w:sz w:val="20"/>
          <w:szCs w:val="20"/>
        </w:rPr>
        <w:t xml:space="preserve"> a larger sample (n=60). We will report outcomes of preference coefficients, importance percentages, and willingness-to-trade off costs for a different attribute. </w:t>
      </w:r>
      <w:r w:rsidRPr="00F47BE6">
        <w:rPr>
          <w:rFonts w:cs="Arial"/>
          <w:sz w:val="20"/>
          <w:szCs w:val="20"/>
        </w:rPr>
        <w:br/>
      </w:r>
      <w:r w:rsidRPr="00221118">
        <w:rPr>
          <w:rFonts w:cs="Arial"/>
          <w:sz w:val="20"/>
          <w:szCs w:val="20"/>
          <w:u w:val="single"/>
        </w:rPr>
        <w:t>Discussion/Conclusions</w:t>
      </w:r>
      <w:r w:rsidR="00221118" w:rsidRPr="00221118">
        <w:rPr>
          <w:rFonts w:cs="Arial"/>
          <w:sz w:val="20"/>
          <w:szCs w:val="20"/>
          <w:u w:val="single"/>
        </w:rPr>
        <w:t>:</w:t>
      </w:r>
      <w:r w:rsidR="00221118">
        <w:rPr>
          <w:rFonts w:cs="Arial"/>
          <w:sz w:val="20"/>
          <w:szCs w:val="20"/>
        </w:rPr>
        <w:t xml:space="preserve"> </w:t>
      </w:r>
      <w:r w:rsidRPr="00F47BE6">
        <w:rPr>
          <w:rFonts w:cs="Arial"/>
          <w:sz w:val="20"/>
          <w:szCs w:val="20"/>
        </w:rPr>
        <w:t>Findings will inform the design of an accessible, culturally responsive family navigator programs aimed at improving treatment adherence in pediatric ADHD care across diverse households.</w:t>
      </w:r>
    </w:p>
    <w:p w14:paraId="1C7D8607" w14:textId="77777777" w:rsidR="00221118" w:rsidRDefault="00221118" w:rsidP="00D36E11">
      <w:pPr>
        <w:spacing w:after="0" w:line="240" w:lineRule="auto"/>
        <w:rPr>
          <w:rFonts w:cs="Arial"/>
          <w:b/>
          <w:sz w:val="20"/>
          <w:szCs w:val="20"/>
        </w:rPr>
      </w:pPr>
    </w:p>
    <w:p w14:paraId="1896F461" w14:textId="6E24B8A7" w:rsidR="00002CD7" w:rsidRPr="00F47BE6"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Surya Verma, MPH, MBBS</w:t>
      </w:r>
      <w:r w:rsidR="00221118">
        <w:rPr>
          <w:rFonts w:cs="Arial"/>
          <w:sz w:val="20"/>
          <w:szCs w:val="20"/>
        </w:rPr>
        <w:t>,</w:t>
      </w:r>
      <w:r w:rsidR="007E38C3" w:rsidRPr="00F47BE6">
        <w:rPr>
          <w:rFonts w:cs="Arial"/>
          <w:sz w:val="20"/>
          <w:szCs w:val="20"/>
        </w:rPr>
        <w:t xml:space="preserve"> Tran T. Doan, PhD, MPH, Vanessa Villazon, MD, MPH, MSc</w:t>
      </w:r>
      <w:r w:rsidR="00221118">
        <w:rPr>
          <w:rFonts w:cs="Arial"/>
          <w:sz w:val="20"/>
          <w:szCs w:val="20"/>
        </w:rPr>
        <w:t>,</w:t>
      </w:r>
      <w:r w:rsidR="007E38C3" w:rsidRPr="00F47BE6">
        <w:rPr>
          <w:rFonts w:cs="Arial"/>
          <w:sz w:val="20"/>
          <w:szCs w:val="20"/>
        </w:rPr>
        <w:t xml:space="preserve"> Julie Ressalam, MPH</w:t>
      </w:r>
      <w:r w:rsidR="00221118">
        <w:rPr>
          <w:rFonts w:cs="Arial"/>
          <w:sz w:val="20"/>
          <w:szCs w:val="20"/>
        </w:rPr>
        <w:t>,</w:t>
      </w:r>
      <w:r w:rsidR="007E38C3" w:rsidRPr="00F47BE6">
        <w:rPr>
          <w:rFonts w:cs="Arial"/>
          <w:sz w:val="20"/>
          <w:szCs w:val="20"/>
        </w:rPr>
        <w:t xml:space="preserve"> Noor Al-</w:t>
      </w:r>
      <w:proofErr w:type="spellStart"/>
      <w:r w:rsidR="007E38C3" w:rsidRPr="00F47BE6">
        <w:rPr>
          <w:rFonts w:cs="Arial"/>
          <w:sz w:val="20"/>
          <w:szCs w:val="20"/>
        </w:rPr>
        <w:t>Rubaye</w:t>
      </w:r>
      <w:proofErr w:type="spellEnd"/>
      <w:r w:rsidR="007E38C3" w:rsidRPr="00F47BE6">
        <w:rPr>
          <w:rFonts w:cs="Arial"/>
          <w:sz w:val="20"/>
          <w:szCs w:val="20"/>
        </w:rPr>
        <w:t>, MPH, Kelly I. Kamimura-Nishimura, MD, MS</w:t>
      </w:r>
    </w:p>
    <w:p w14:paraId="7229EBF3" w14:textId="77777777" w:rsidR="00002CD7" w:rsidRDefault="00002CD7" w:rsidP="00D36E11">
      <w:pPr>
        <w:spacing w:after="0" w:line="240" w:lineRule="auto"/>
        <w:rPr>
          <w:rFonts w:cs="Arial"/>
          <w:sz w:val="20"/>
          <w:szCs w:val="20"/>
        </w:rPr>
      </w:pPr>
    </w:p>
    <w:p w14:paraId="76C09A1B" w14:textId="77777777" w:rsidR="00221118" w:rsidRPr="00F47BE6" w:rsidRDefault="00221118" w:rsidP="00D36E11">
      <w:pPr>
        <w:spacing w:after="0" w:line="240" w:lineRule="auto"/>
        <w:rPr>
          <w:rFonts w:cs="Arial"/>
          <w:sz w:val="20"/>
          <w:szCs w:val="20"/>
        </w:rPr>
      </w:pPr>
    </w:p>
    <w:p w14:paraId="476D1C2A" w14:textId="18AFF589" w:rsidR="00002CD7" w:rsidRPr="000E2E46" w:rsidRDefault="00AC3C41" w:rsidP="00D36E11">
      <w:pPr>
        <w:spacing w:after="0" w:line="240" w:lineRule="auto"/>
        <w:rPr>
          <w:rFonts w:cs="Arial"/>
          <w:sz w:val="20"/>
          <w:szCs w:val="20"/>
          <w:u w:val="single"/>
        </w:rPr>
      </w:pPr>
      <w:r>
        <w:rPr>
          <w:rFonts w:cs="Arial"/>
          <w:b/>
          <w:sz w:val="20"/>
          <w:szCs w:val="20"/>
          <w:u w:val="single"/>
        </w:rPr>
        <w:t xml:space="preserve">35. </w:t>
      </w:r>
      <w:r w:rsidR="007E38C3" w:rsidRPr="000E2E46">
        <w:rPr>
          <w:rFonts w:cs="Arial"/>
          <w:b/>
          <w:sz w:val="20"/>
          <w:szCs w:val="20"/>
          <w:u w:val="single"/>
        </w:rPr>
        <w:t>Enhancing Youth Engagement through Youth Advisory Boards: Youth and Facilitator Perspectives</w:t>
      </w:r>
    </w:p>
    <w:p w14:paraId="1A1915C1" w14:textId="77777777" w:rsidR="000E2E46" w:rsidRDefault="000E2E46" w:rsidP="00D36E11">
      <w:pPr>
        <w:spacing w:after="0" w:line="240" w:lineRule="auto"/>
        <w:rPr>
          <w:rFonts w:cs="Arial"/>
          <w:b/>
          <w:sz w:val="20"/>
          <w:szCs w:val="20"/>
        </w:rPr>
      </w:pPr>
    </w:p>
    <w:p w14:paraId="3FDE64CE" w14:textId="1112D243"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Na'Kia Napue, University of Colorado School of Medicine</w:t>
      </w:r>
    </w:p>
    <w:p w14:paraId="5758ECA2" w14:textId="77777777" w:rsidR="000E2E46" w:rsidRDefault="000E2E46" w:rsidP="00D36E11">
      <w:pPr>
        <w:spacing w:after="0" w:line="240" w:lineRule="auto"/>
        <w:rPr>
          <w:rFonts w:cs="Arial"/>
          <w:sz w:val="20"/>
          <w:szCs w:val="20"/>
        </w:rPr>
      </w:pPr>
    </w:p>
    <w:p w14:paraId="51CDFBBE" w14:textId="63A04A17" w:rsidR="00002CD7" w:rsidRPr="00F47BE6" w:rsidRDefault="007E38C3" w:rsidP="00D36E11">
      <w:pPr>
        <w:spacing w:after="0" w:line="240" w:lineRule="auto"/>
        <w:rPr>
          <w:rFonts w:cs="Arial"/>
          <w:sz w:val="20"/>
          <w:szCs w:val="20"/>
        </w:rPr>
      </w:pPr>
      <w:r w:rsidRPr="000E2E46">
        <w:rPr>
          <w:rFonts w:cs="Arial"/>
          <w:sz w:val="20"/>
          <w:szCs w:val="20"/>
          <w:u w:val="single"/>
        </w:rPr>
        <w:t>Background:</w:t>
      </w:r>
      <w:r w:rsidRPr="00F47BE6">
        <w:rPr>
          <w:rFonts w:cs="Arial"/>
          <w:sz w:val="20"/>
          <w:szCs w:val="20"/>
        </w:rPr>
        <w:t xml:space="preserve"> Youth Advisory Boards (YABs) offer youth structured opportunities to shape research, yet the presence of a YAB does not guarantee meaningful engagement by youth participants. We explored the structural and relational factors that youth find important in supporting their ability to fully participate and engage with their YABs. We also explored ways that YAB facilitators help provide supportive environments for their youth participants.</w:t>
      </w:r>
      <w:r w:rsidRPr="00F47BE6">
        <w:rPr>
          <w:rFonts w:cs="Arial"/>
          <w:sz w:val="20"/>
          <w:szCs w:val="20"/>
        </w:rPr>
        <w:br/>
      </w:r>
      <w:r w:rsidRPr="000E2E46">
        <w:rPr>
          <w:rFonts w:cs="Arial"/>
          <w:sz w:val="20"/>
          <w:szCs w:val="20"/>
          <w:u w:val="single"/>
        </w:rPr>
        <w:t>Methods:</w:t>
      </w:r>
      <w:r w:rsidRPr="00F47BE6">
        <w:rPr>
          <w:rFonts w:cs="Arial"/>
          <w:sz w:val="20"/>
          <w:szCs w:val="20"/>
        </w:rPr>
        <w:t xml:space="preserve"> Youth members (aged 10-24 years) and facilitators from YABs across the United States were recruited to participate in </w:t>
      </w:r>
      <w:proofErr w:type="gramStart"/>
      <w:r w:rsidRPr="00F47BE6">
        <w:rPr>
          <w:rFonts w:cs="Arial"/>
          <w:sz w:val="20"/>
          <w:szCs w:val="20"/>
        </w:rPr>
        <w:t>90 minute</w:t>
      </w:r>
      <w:proofErr w:type="gramEnd"/>
      <w:r w:rsidRPr="00F47BE6">
        <w:rPr>
          <w:rFonts w:cs="Arial"/>
          <w:sz w:val="20"/>
          <w:szCs w:val="20"/>
        </w:rPr>
        <w:t xml:space="preserve"> virtual focus groups focused on their experiences with YABs, including recruitment, onboarding, project support, and decision making. Transcripts were coded and analyzed using a practical thematic analysis framework.</w:t>
      </w:r>
      <w:r w:rsidRPr="00F47BE6">
        <w:rPr>
          <w:rFonts w:cs="Arial"/>
          <w:sz w:val="20"/>
          <w:szCs w:val="20"/>
        </w:rPr>
        <w:br/>
      </w:r>
      <w:r w:rsidRPr="000E2E46">
        <w:rPr>
          <w:rFonts w:cs="Arial"/>
          <w:sz w:val="20"/>
          <w:szCs w:val="20"/>
          <w:u w:val="single"/>
        </w:rPr>
        <w:t>Results:</w:t>
      </w:r>
      <w:r w:rsidRPr="00F47BE6">
        <w:rPr>
          <w:rFonts w:cs="Arial"/>
          <w:sz w:val="20"/>
          <w:szCs w:val="20"/>
        </w:rPr>
        <w:t xml:space="preserve"> Thirty </w:t>
      </w:r>
      <w:proofErr w:type="gramStart"/>
      <w:r w:rsidRPr="00F47BE6">
        <w:rPr>
          <w:rFonts w:cs="Arial"/>
          <w:sz w:val="20"/>
          <w:szCs w:val="20"/>
        </w:rPr>
        <w:t>youth</w:t>
      </w:r>
      <w:proofErr w:type="gramEnd"/>
      <w:r w:rsidRPr="00F47BE6">
        <w:rPr>
          <w:rFonts w:cs="Arial"/>
          <w:sz w:val="20"/>
          <w:szCs w:val="20"/>
        </w:rPr>
        <w:t xml:space="preserve"> participated in 5 focus groups, and 12 facilitators participated in 3 focus groups. Youth described what made their YABs feel like supportive environments. Structurally, participants described the importance of diverse </w:t>
      </w:r>
      <w:proofErr w:type="gramStart"/>
      <w:r w:rsidRPr="00F47BE6">
        <w:rPr>
          <w:rFonts w:cs="Arial"/>
          <w:sz w:val="20"/>
          <w:szCs w:val="20"/>
        </w:rPr>
        <w:t>representation</w:t>
      </w:r>
      <w:proofErr w:type="gramEnd"/>
      <w:r w:rsidRPr="00F47BE6">
        <w:rPr>
          <w:rFonts w:cs="Arial"/>
          <w:sz w:val="20"/>
          <w:szCs w:val="20"/>
        </w:rPr>
        <w:t xml:space="preserve"> made possible through targeted recruitment efforts, flexible meeting formats (in-person, virtual, and asynchronous), clear communication tools, and defined roles in research activities. Relationally, youth described feeling welcomed, valued, and heard as foundational to their participation. They were supported by facilitators' intentional relationship-building and by flat, respectful power structures that gave newer and younger members equal standing. Youth also emphasized topic relevance and opportunities for authentic leadership as motivators for sustained engagement. Facilitators noted ongoing logistical challenges, namely funding and staffing sustainability and accommodating youths' competing schedules, as constraints on consistent engagement. Participants called out tangible markers of successful engagement, including clear </w:t>
      </w:r>
      <w:r w:rsidRPr="00F47BE6">
        <w:rPr>
          <w:rFonts w:cs="Arial"/>
          <w:sz w:val="20"/>
          <w:szCs w:val="20"/>
        </w:rPr>
        <w:lastRenderedPageBreak/>
        <w:t>project improvements from youth input and personal growth potential.</w:t>
      </w:r>
      <w:r w:rsidRPr="00F47BE6">
        <w:rPr>
          <w:rFonts w:cs="Arial"/>
          <w:sz w:val="20"/>
          <w:szCs w:val="20"/>
        </w:rPr>
        <w:br/>
      </w:r>
      <w:r w:rsidRPr="000E2E46">
        <w:rPr>
          <w:rFonts w:cs="Arial"/>
          <w:sz w:val="20"/>
          <w:szCs w:val="20"/>
          <w:u w:val="single"/>
        </w:rPr>
        <w:t>Discussion:</w:t>
      </w:r>
      <w:r w:rsidRPr="00F47BE6">
        <w:rPr>
          <w:rFonts w:cs="Arial"/>
          <w:sz w:val="20"/>
          <w:szCs w:val="20"/>
        </w:rPr>
        <w:t xml:space="preserve"> YAB facilitators can support meaningful youth engagement by allowing for supportive structural processes and paying attention to relationships they hold with youth. Findings from these focus group discussions can inform practical guidance for YAB facilitators seeking to start or support a YAB.</w:t>
      </w:r>
    </w:p>
    <w:p w14:paraId="224AF440" w14:textId="77777777" w:rsidR="000E2E46" w:rsidRDefault="000E2E46" w:rsidP="00D36E11">
      <w:pPr>
        <w:spacing w:after="0" w:line="240" w:lineRule="auto"/>
        <w:rPr>
          <w:rFonts w:cs="Arial"/>
          <w:b/>
          <w:sz w:val="20"/>
          <w:szCs w:val="20"/>
        </w:rPr>
      </w:pPr>
    </w:p>
    <w:p w14:paraId="663F77BF" w14:textId="2EF942EA" w:rsidR="00002CD7" w:rsidRPr="00F47BE6"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Na’Kia Napue</w:t>
      </w:r>
      <w:r w:rsidR="00EF72A0">
        <w:rPr>
          <w:rFonts w:cs="Arial"/>
          <w:sz w:val="20"/>
          <w:szCs w:val="20"/>
        </w:rPr>
        <w:t xml:space="preserve"> (</w:t>
      </w:r>
      <w:r w:rsidR="007E38C3" w:rsidRPr="00F47BE6">
        <w:rPr>
          <w:rFonts w:cs="Arial"/>
          <w:sz w:val="20"/>
          <w:szCs w:val="20"/>
        </w:rPr>
        <w:t>1,2</w:t>
      </w:r>
      <w:r w:rsidR="00EF72A0">
        <w:rPr>
          <w:rFonts w:cs="Arial"/>
          <w:sz w:val="20"/>
          <w:szCs w:val="20"/>
        </w:rPr>
        <w:t>)</w:t>
      </w:r>
      <w:r w:rsidR="007E38C3" w:rsidRPr="00F47BE6">
        <w:rPr>
          <w:rFonts w:cs="Arial"/>
          <w:sz w:val="20"/>
          <w:szCs w:val="20"/>
        </w:rPr>
        <w:t>, Sarah E. Brewer</w:t>
      </w:r>
      <w:r w:rsidR="00EF72A0">
        <w:rPr>
          <w:rFonts w:cs="Arial"/>
          <w:sz w:val="20"/>
          <w:szCs w:val="20"/>
        </w:rPr>
        <w:t xml:space="preserve"> (</w:t>
      </w:r>
      <w:r w:rsidR="007E38C3" w:rsidRPr="00F47BE6">
        <w:rPr>
          <w:rFonts w:cs="Arial"/>
          <w:sz w:val="20"/>
          <w:szCs w:val="20"/>
        </w:rPr>
        <w:t>1,3</w:t>
      </w:r>
      <w:r w:rsidR="00EF72A0">
        <w:rPr>
          <w:rFonts w:cs="Arial"/>
          <w:sz w:val="20"/>
          <w:szCs w:val="20"/>
        </w:rPr>
        <w:t>)</w:t>
      </w:r>
      <w:r w:rsidR="007E38C3" w:rsidRPr="00F47BE6">
        <w:rPr>
          <w:rFonts w:cs="Arial"/>
          <w:sz w:val="20"/>
          <w:szCs w:val="20"/>
        </w:rPr>
        <w:t>, Andrea Jimenez Zambrano</w:t>
      </w:r>
      <w:r w:rsidR="00EF72A0">
        <w:rPr>
          <w:rFonts w:cs="Arial"/>
          <w:sz w:val="20"/>
          <w:szCs w:val="20"/>
        </w:rPr>
        <w:t xml:space="preserve"> (</w:t>
      </w:r>
      <w:r w:rsidR="007E38C3" w:rsidRPr="00F47BE6">
        <w:rPr>
          <w:rFonts w:cs="Arial"/>
          <w:sz w:val="20"/>
          <w:szCs w:val="20"/>
        </w:rPr>
        <w:t>1,4</w:t>
      </w:r>
      <w:r w:rsidR="00EF72A0">
        <w:rPr>
          <w:rFonts w:cs="Arial"/>
          <w:sz w:val="20"/>
          <w:szCs w:val="20"/>
        </w:rPr>
        <w:t>)</w:t>
      </w:r>
      <w:r w:rsidR="007E38C3" w:rsidRPr="00F47BE6">
        <w:rPr>
          <w:rFonts w:cs="Arial"/>
          <w:sz w:val="20"/>
          <w:szCs w:val="20"/>
        </w:rPr>
        <w:t>, Dennis Gurfinkel</w:t>
      </w:r>
      <w:r w:rsidR="00EF72A0">
        <w:rPr>
          <w:rFonts w:cs="Arial"/>
          <w:sz w:val="20"/>
          <w:szCs w:val="20"/>
        </w:rPr>
        <w:t xml:space="preserve"> (</w:t>
      </w:r>
      <w:r w:rsidR="007E38C3" w:rsidRPr="00F47BE6">
        <w:rPr>
          <w:rFonts w:cs="Arial"/>
          <w:sz w:val="20"/>
          <w:szCs w:val="20"/>
        </w:rPr>
        <w:t>1</w:t>
      </w:r>
      <w:r w:rsidR="00EF72A0">
        <w:rPr>
          <w:rFonts w:cs="Arial"/>
          <w:sz w:val="20"/>
          <w:szCs w:val="20"/>
        </w:rPr>
        <w:t>)</w:t>
      </w:r>
      <w:r w:rsidR="007E38C3" w:rsidRPr="00F47BE6">
        <w:rPr>
          <w:rFonts w:cs="Arial"/>
          <w:sz w:val="20"/>
          <w:szCs w:val="20"/>
        </w:rPr>
        <w:t>, Elizabeth Paschal</w:t>
      </w:r>
      <w:r w:rsidR="00EF72A0">
        <w:rPr>
          <w:rFonts w:cs="Arial"/>
          <w:sz w:val="20"/>
          <w:szCs w:val="20"/>
        </w:rPr>
        <w:t xml:space="preserve"> (</w:t>
      </w:r>
      <w:r w:rsidR="007E38C3" w:rsidRPr="00F47BE6">
        <w:rPr>
          <w:rFonts w:cs="Arial"/>
          <w:sz w:val="20"/>
          <w:szCs w:val="20"/>
        </w:rPr>
        <w:t>1</w:t>
      </w:r>
      <w:r w:rsidR="00EF72A0">
        <w:rPr>
          <w:rFonts w:cs="Arial"/>
          <w:sz w:val="20"/>
          <w:szCs w:val="20"/>
        </w:rPr>
        <w:t>)</w:t>
      </w:r>
      <w:r w:rsidR="007E38C3" w:rsidRPr="00F47BE6">
        <w:rPr>
          <w:rFonts w:cs="Arial"/>
          <w:sz w:val="20"/>
          <w:szCs w:val="20"/>
        </w:rPr>
        <w:t>, Saba Kord</w:t>
      </w:r>
      <w:r w:rsidR="00EF72A0">
        <w:rPr>
          <w:rFonts w:cs="Arial"/>
          <w:sz w:val="20"/>
          <w:szCs w:val="20"/>
        </w:rPr>
        <w:t xml:space="preserve"> (</w:t>
      </w:r>
      <w:r w:rsidR="007E38C3" w:rsidRPr="00F47BE6">
        <w:rPr>
          <w:rFonts w:cs="Arial"/>
          <w:sz w:val="20"/>
          <w:szCs w:val="20"/>
        </w:rPr>
        <w:t>2,5</w:t>
      </w:r>
      <w:r w:rsidR="00EF72A0">
        <w:rPr>
          <w:rFonts w:cs="Arial"/>
          <w:sz w:val="20"/>
          <w:szCs w:val="20"/>
        </w:rPr>
        <w:t>)</w:t>
      </w:r>
      <w:r w:rsidR="007E38C3" w:rsidRPr="00F47BE6">
        <w:rPr>
          <w:rFonts w:cs="Arial"/>
          <w:sz w:val="20"/>
          <w:szCs w:val="20"/>
        </w:rPr>
        <w:t>, Victoria Grasso</w:t>
      </w:r>
      <w:r w:rsidR="00EF72A0">
        <w:rPr>
          <w:rFonts w:cs="Arial"/>
          <w:sz w:val="20"/>
          <w:szCs w:val="20"/>
        </w:rPr>
        <w:t xml:space="preserve"> (</w:t>
      </w:r>
      <w:r w:rsidR="007E38C3" w:rsidRPr="00F47BE6">
        <w:rPr>
          <w:rFonts w:cs="Arial"/>
          <w:sz w:val="20"/>
          <w:szCs w:val="20"/>
        </w:rPr>
        <w:t>5</w:t>
      </w:r>
      <w:r w:rsidR="00EF72A0">
        <w:rPr>
          <w:rFonts w:cs="Arial"/>
          <w:sz w:val="20"/>
          <w:szCs w:val="20"/>
        </w:rPr>
        <w:t>)</w:t>
      </w:r>
      <w:r w:rsidR="007E38C3" w:rsidRPr="00F47BE6">
        <w:rPr>
          <w:rFonts w:cs="Arial"/>
          <w:sz w:val="20"/>
          <w:szCs w:val="20"/>
        </w:rPr>
        <w:t>, Benjamin Sofie</w:t>
      </w:r>
      <w:r w:rsidR="00EF72A0">
        <w:rPr>
          <w:rFonts w:cs="Arial"/>
          <w:sz w:val="20"/>
          <w:szCs w:val="20"/>
        </w:rPr>
        <w:t xml:space="preserve"> (</w:t>
      </w:r>
      <w:r w:rsidR="007E38C3" w:rsidRPr="00F47BE6">
        <w:rPr>
          <w:rFonts w:cs="Arial"/>
          <w:sz w:val="20"/>
          <w:szCs w:val="20"/>
        </w:rPr>
        <w:t>3</w:t>
      </w:r>
      <w:r w:rsidR="00EF72A0">
        <w:rPr>
          <w:rFonts w:cs="Arial"/>
          <w:sz w:val="20"/>
          <w:szCs w:val="20"/>
        </w:rPr>
        <w:t>)</w:t>
      </w:r>
      <w:r w:rsidR="007E38C3" w:rsidRPr="00F47BE6">
        <w:rPr>
          <w:rFonts w:cs="Arial"/>
          <w:sz w:val="20"/>
          <w:szCs w:val="20"/>
        </w:rPr>
        <w:t>, Jill L. Kaar</w:t>
      </w:r>
      <w:r w:rsidR="00EF72A0">
        <w:rPr>
          <w:rFonts w:cs="Arial"/>
          <w:sz w:val="20"/>
          <w:szCs w:val="20"/>
        </w:rPr>
        <w:t xml:space="preserve"> (</w:t>
      </w:r>
      <w:r w:rsidR="007E38C3" w:rsidRPr="00F47BE6">
        <w:rPr>
          <w:rFonts w:cs="Arial"/>
          <w:sz w:val="20"/>
          <w:szCs w:val="20"/>
        </w:rPr>
        <w:t>6,7</w:t>
      </w:r>
      <w:r w:rsidR="00EF72A0">
        <w:rPr>
          <w:rFonts w:cs="Arial"/>
          <w:sz w:val="20"/>
          <w:szCs w:val="20"/>
        </w:rPr>
        <w:t>)</w:t>
      </w:r>
      <w:r w:rsidR="007E38C3" w:rsidRPr="00F47BE6">
        <w:rPr>
          <w:rFonts w:cs="Arial"/>
          <w:sz w:val="20"/>
          <w:szCs w:val="20"/>
        </w:rPr>
        <w:t>, Stephen Scott</w:t>
      </w:r>
      <w:r w:rsidR="00EF72A0">
        <w:rPr>
          <w:rFonts w:cs="Arial"/>
          <w:sz w:val="20"/>
          <w:szCs w:val="20"/>
        </w:rPr>
        <w:t xml:space="preserve"> (</w:t>
      </w:r>
      <w:r w:rsidR="007E38C3" w:rsidRPr="00F47BE6">
        <w:rPr>
          <w:rFonts w:cs="Arial"/>
          <w:sz w:val="20"/>
          <w:szCs w:val="20"/>
        </w:rPr>
        <w:t>5</w:t>
      </w:r>
      <w:r w:rsidR="00EF72A0">
        <w:rPr>
          <w:rFonts w:cs="Arial"/>
          <w:sz w:val="20"/>
          <w:szCs w:val="20"/>
        </w:rPr>
        <w:t>)</w:t>
      </w:r>
      <w:r w:rsidR="007E38C3" w:rsidRPr="00F47BE6">
        <w:rPr>
          <w:rFonts w:cs="Arial"/>
          <w:sz w:val="20"/>
          <w:szCs w:val="20"/>
        </w:rPr>
        <w:br/>
      </w:r>
      <w:r w:rsidR="007E38C3" w:rsidRPr="00F47BE6">
        <w:rPr>
          <w:rFonts w:cs="Arial"/>
          <w:sz w:val="20"/>
          <w:szCs w:val="20"/>
        </w:rPr>
        <w:br/>
      </w:r>
      <w:r w:rsidR="000E2E46">
        <w:rPr>
          <w:rFonts w:cs="Arial"/>
          <w:sz w:val="20"/>
          <w:szCs w:val="20"/>
        </w:rPr>
        <w:t>(</w:t>
      </w:r>
      <w:r w:rsidR="007E38C3" w:rsidRPr="00F47BE6">
        <w:rPr>
          <w:rFonts w:cs="Arial"/>
          <w:sz w:val="20"/>
          <w:szCs w:val="20"/>
        </w:rPr>
        <w:t>1</w:t>
      </w:r>
      <w:r w:rsidR="000E2E46">
        <w:rPr>
          <w:rFonts w:cs="Arial"/>
          <w:sz w:val="20"/>
          <w:szCs w:val="20"/>
        </w:rPr>
        <w:t>)</w:t>
      </w:r>
      <w:r w:rsidR="007E38C3" w:rsidRPr="00F47BE6">
        <w:rPr>
          <w:rFonts w:cs="Arial"/>
          <w:sz w:val="20"/>
          <w:szCs w:val="20"/>
        </w:rPr>
        <w:t xml:space="preserve"> </w:t>
      </w:r>
      <w:r w:rsidR="00EF72A0" w:rsidRPr="006B13AC">
        <w:rPr>
          <w:sz w:val="20"/>
          <w:szCs w:val="20"/>
        </w:rPr>
        <w:t>Adult and Child Center for Outcomes Research and Delivery Science</w:t>
      </w:r>
      <w:r w:rsidR="00EF72A0" w:rsidRPr="00F47BE6">
        <w:rPr>
          <w:sz w:val="20"/>
          <w:szCs w:val="20"/>
        </w:rPr>
        <w:t xml:space="preserve"> </w:t>
      </w:r>
      <w:r w:rsidR="00EF72A0">
        <w:rPr>
          <w:sz w:val="20"/>
          <w:szCs w:val="20"/>
        </w:rPr>
        <w:t>(</w:t>
      </w:r>
      <w:r w:rsidR="00EF72A0" w:rsidRPr="00F47BE6">
        <w:rPr>
          <w:rFonts w:cs="Arial"/>
          <w:sz w:val="20"/>
          <w:szCs w:val="20"/>
        </w:rPr>
        <w:t>ACCORDS</w:t>
      </w:r>
      <w:r w:rsidR="00EF72A0">
        <w:rPr>
          <w:sz w:val="20"/>
          <w:szCs w:val="20"/>
        </w:rPr>
        <w:t>)</w:t>
      </w:r>
      <w:r w:rsidR="00EF72A0" w:rsidRPr="00F47BE6">
        <w:rPr>
          <w:rFonts w:cs="Arial"/>
          <w:sz w:val="20"/>
          <w:szCs w:val="20"/>
        </w:rPr>
        <w:t xml:space="preserve">, </w:t>
      </w:r>
      <w:r w:rsidR="007E38C3" w:rsidRPr="00F47BE6">
        <w:rPr>
          <w:rFonts w:cs="Arial"/>
          <w:sz w:val="20"/>
          <w:szCs w:val="20"/>
        </w:rPr>
        <w:t xml:space="preserve">School of Medicine, University of Colorado Anschutz </w:t>
      </w:r>
      <w:r w:rsidR="007E38C3" w:rsidRPr="00F47BE6">
        <w:rPr>
          <w:rFonts w:cs="Arial"/>
          <w:sz w:val="20"/>
          <w:szCs w:val="20"/>
        </w:rPr>
        <w:br/>
      </w:r>
      <w:r w:rsidR="000E2E46">
        <w:rPr>
          <w:rFonts w:cs="Arial"/>
          <w:sz w:val="20"/>
          <w:szCs w:val="20"/>
        </w:rPr>
        <w:t>(2)</w:t>
      </w:r>
      <w:r w:rsidR="007E38C3" w:rsidRPr="00F47BE6">
        <w:rPr>
          <w:rFonts w:cs="Arial"/>
          <w:sz w:val="20"/>
          <w:szCs w:val="20"/>
        </w:rPr>
        <w:t xml:space="preserve"> Youth co-investigator, Project E3</w:t>
      </w:r>
      <w:r w:rsidR="007E38C3" w:rsidRPr="00F47BE6">
        <w:rPr>
          <w:rFonts w:cs="Arial"/>
          <w:sz w:val="20"/>
          <w:szCs w:val="20"/>
        </w:rPr>
        <w:br/>
      </w:r>
      <w:r w:rsidR="000E2E46">
        <w:rPr>
          <w:rFonts w:cs="Arial"/>
          <w:sz w:val="20"/>
          <w:szCs w:val="20"/>
        </w:rPr>
        <w:t>(3)</w:t>
      </w:r>
      <w:r w:rsidR="007E38C3" w:rsidRPr="00F47BE6">
        <w:rPr>
          <w:rFonts w:cs="Arial"/>
          <w:sz w:val="20"/>
          <w:szCs w:val="20"/>
        </w:rPr>
        <w:t xml:space="preserve"> Department of Family Medicine, School of Medicine, University of Colorado Anschutz </w:t>
      </w:r>
      <w:r w:rsidR="007E38C3" w:rsidRPr="00F47BE6">
        <w:rPr>
          <w:rFonts w:cs="Arial"/>
          <w:sz w:val="20"/>
          <w:szCs w:val="20"/>
        </w:rPr>
        <w:br/>
      </w:r>
      <w:r w:rsidR="000E2E46">
        <w:rPr>
          <w:rFonts w:cs="Arial"/>
          <w:sz w:val="20"/>
          <w:szCs w:val="20"/>
        </w:rPr>
        <w:t>(4)</w:t>
      </w:r>
      <w:r w:rsidR="007E38C3" w:rsidRPr="00F47BE6">
        <w:rPr>
          <w:rFonts w:cs="Arial"/>
          <w:sz w:val="20"/>
          <w:szCs w:val="20"/>
        </w:rPr>
        <w:t xml:space="preserve"> Department of Pediatrics, School of Medicine, University of Colorado Anschutz</w:t>
      </w:r>
      <w:r w:rsidR="007E38C3" w:rsidRPr="00F47BE6">
        <w:rPr>
          <w:rFonts w:cs="Arial"/>
          <w:sz w:val="20"/>
          <w:szCs w:val="20"/>
        </w:rPr>
        <w:br/>
      </w:r>
      <w:r w:rsidR="000E2E46">
        <w:rPr>
          <w:rFonts w:cs="Arial"/>
          <w:sz w:val="20"/>
          <w:szCs w:val="20"/>
        </w:rPr>
        <w:t>(5)</w:t>
      </w:r>
      <w:r w:rsidR="007E38C3" w:rsidRPr="00F47BE6">
        <w:rPr>
          <w:rFonts w:cs="Arial"/>
          <w:sz w:val="20"/>
          <w:szCs w:val="20"/>
        </w:rPr>
        <w:t xml:space="preserve"> Department of Obstetrics and Gynecology, School of Medicine, University of Colorado Anschutz</w:t>
      </w:r>
      <w:r w:rsidR="007E38C3" w:rsidRPr="00F47BE6">
        <w:rPr>
          <w:rFonts w:cs="Arial"/>
          <w:sz w:val="20"/>
          <w:szCs w:val="20"/>
        </w:rPr>
        <w:br/>
      </w:r>
      <w:r w:rsidR="000E2E46">
        <w:rPr>
          <w:rFonts w:cs="Arial"/>
          <w:sz w:val="20"/>
          <w:szCs w:val="20"/>
        </w:rPr>
        <w:t>(6)</w:t>
      </w:r>
      <w:r w:rsidR="007E38C3" w:rsidRPr="00F47BE6">
        <w:rPr>
          <w:rFonts w:cs="Arial"/>
          <w:sz w:val="20"/>
          <w:szCs w:val="20"/>
        </w:rPr>
        <w:t xml:space="preserve"> Department of Epidemiology, Colorado School of Public Health, University of Colorado Anschutz</w:t>
      </w:r>
      <w:r w:rsidR="007E38C3" w:rsidRPr="00F47BE6">
        <w:rPr>
          <w:rFonts w:cs="Arial"/>
          <w:sz w:val="20"/>
          <w:szCs w:val="20"/>
        </w:rPr>
        <w:br/>
      </w:r>
      <w:r w:rsidR="000E2E46">
        <w:rPr>
          <w:rFonts w:cs="Arial"/>
          <w:sz w:val="20"/>
          <w:szCs w:val="20"/>
        </w:rPr>
        <w:t>(7)</w:t>
      </w:r>
      <w:r w:rsidR="007E38C3" w:rsidRPr="00F47BE6">
        <w:rPr>
          <w:rFonts w:cs="Arial"/>
          <w:sz w:val="20"/>
          <w:szCs w:val="20"/>
        </w:rPr>
        <w:t xml:space="preserve"> Research Outcomes in Children's Surgery (ROCS), School of Medicine, University of Colorado Anschutz</w:t>
      </w:r>
    </w:p>
    <w:p w14:paraId="2BE1BE6B" w14:textId="77777777" w:rsidR="00002CD7" w:rsidRDefault="00002CD7" w:rsidP="00D36E11">
      <w:pPr>
        <w:spacing w:after="0" w:line="240" w:lineRule="auto"/>
        <w:rPr>
          <w:rFonts w:cs="Arial"/>
          <w:sz w:val="20"/>
          <w:szCs w:val="20"/>
        </w:rPr>
      </w:pPr>
    </w:p>
    <w:p w14:paraId="663E0BBA" w14:textId="77777777" w:rsidR="006416EF" w:rsidRPr="00F47BE6" w:rsidRDefault="006416EF" w:rsidP="00D36E11">
      <w:pPr>
        <w:spacing w:after="0" w:line="240" w:lineRule="auto"/>
        <w:rPr>
          <w:rFonts w:cs="Arial"/>
          <w:sz w:val="20"/>
          <w:szCs w:val="20"/>
        </w:rPr>
      </w:pPr>
    </w:p>
    <w:p w14:paraId="5C32B51D" w14:textId="55FDEEB2" w:rsidR="00002CD7" w:rsidRPr="006266B1" w:rsidRDefault="00965024" w:rsidP="00D36E11">
      <w:pPr>
        <w:spacing w:after="0" w:line="240" w:lineRule="auto"/>
        <w:rPr>
          <w:rFonts w:cs="Arial"/>
          <w:sz w:val="20"/>
          <w:szCs w:val="20"/>
          <w:u w:val="single"/>
        </w:rPr>
      </w:pPr>
      <w:r>
        <w:rPr>
          <w:rFonts w:cs="Arial"/>
          <w:b/>
          <w:sz w:val="20"/>
          <w:szCs w:val="20"/>
          <w:u w:val="single"/>
        </w:rPr>
        <w:t xml:space="preserve">36. </w:t>
      </w:r>
      <w:r w:rsidR="007E38C3" w:rsidRPr="006266B1">
        <w:rPr>
          <w:rFonts w:cs="Arial"/>
          <w:b/>
          <w:sz w:val="20"/>
          <w:szCs w:val="20"/>
          <w:u w:val="single"/>
        </w:rPr>
        <w:t>Integrative Interventions to Address Food Insecurity: Ideas from Professionals Working Across Multiple Sectors of Hunger Relief to Inform Clinical Interventions</w:t>
      </w:r>
    </w:p>
    <w:p w14:paraId="1607A0BC" w14:textId="77777777" w:rsidR="006266B1" w:rsidRDefault="006266B1" w:rsidP="00D36E11">
      <w:pPr>
        <w:spacing w:after="0" w:line="240" w:lineRule="auto"/>
        <w:rPr>
          <w:rFonts w:cs="Arial"/>
          <w:b/>
          <w:sz w:val="20"/>
          <w:szCs w:val="20"/>
        </w:rPr>
      </w:pPr>
    </w:p>
    <w:p w14:paraId="205AF998" w14:textId="5604ED12"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Tanner Schmitz, University of Colorado School of Medicine</w:t>
      </w:r>
    </w:p>
    <w:p w14:paraId="5A3F5DD0" w14:textId="77777777" w:rsidR="006266B1" w:rsidRDefault="006266B1" w:rsidP="00D36E11">
      <w:pPr>
        <w:spacing w:after="0" w:line="240" w:lineRule="auto"/>
        <w:rPr>
          <w:rFonts w:cs="Arial"/>
          <w:sz w:val="20"/>
          <w:szCs w:val="20"/>
        </w:rPr>
      </w:pPr>
    </w:p>
    <w:p w14:paraId="5D2610D0" w14:textId="600D179B" w:rsidR="00002CD7" w:rsidRPr="00F47BE6" w:rsidRDefault="007E38C3" w:rsidP="00D36E11">
      <w:pPr>
        <w:spacing w:after="0" w:line="240" w:lineRule="auto"/>
        <w:rPr>
          <w:rFonts w:cs="Arial"/>
          <w:sz w:val="20"/>
          <w:szCs w:val="20"/>
        </w:rPr>
      </w:pPr>
      <w:r w:rsidRPr="006266B1">
        <w:rPr>
          <w:rFonts w:cs="Arial"/>
          <w:sz w:val="20"/>
          <w:szCs w:val="20"/>
          <w:u w:val="single"/>
        </w:rPr>
        <w:t>Background:</w:t>
      </w:r>
      <w:r w:rsidRPr="00F47BE6">
        <w:rPr>
          <w:rFonts w:cs="Arial"/>
          <w:sz w:val="20"/>
          <w:szCs w:val="20"/>
        </w:rPr>
        <w:t xml:space="preserve"> Food insecurity is a public health problem associated with harmful health and wellbeing outcomes for children and adults. Interactions between health care, education, and community/social services resources in addressing food insecurity remain insufficiently understood. The study aim was to identify potential integrative solutions to enable the development of a more holistic, family-centered approach to addressing food insecurity in clinical interventions. </w:t>
      </w:r>
      <w:r w:rsidRPr="00F47BE6">
        <w:rPr>
          <w:rFonts w:cs="Arial"/>
          <w:sz w:val="20"/>
          <w:szCs w:val="20"/>
        </w:rPr>
        <w:br/>
      </w:r>
      <w:r w:rsidRPr="006266B1">
        <w:rPr>
          <w:rFonts w:cs="Arial"/>
          <w:sz w:val="20"/>
          <w:szCs w:val="20"/>
          <w:u w:val="single"/>
        </w:rPr>
        <w:t>Methods:</w:t>
      </w:r>
      <w:r w:rsidRPr="00F47BE6">
        <w:rPr>
          <w:rFonts w:cs="Arial"/>
          <w:sz w:val="20"/>
          <w:szCs w:val="20"/>
        </w:rPr>
        <w:t xml:space="preserve"> Interactive focus groups using Human Centered Design principles were conducted with participants/professionals (n=47) working in different sectors in Minnesota. Participants (31-80 years; 60% women; 40% underrepresented) participated in one of ten virtual focus groups. Qualitative data collected from focus groups and Jamboards were analyzed using a hybrid deductive/inductive thematic approach. </w:t>
      </w:r>
      <w:r w:rsidRPr="00F47BE6">
        <w:rPr>
          <w:rFonts w:cs="Arial"/>
          <w:sz w:val="20"/>
          <w:szCs w:val="20"/>
        </w:rPr>
        <w:br/>
      </w:r>
      <w:r w:rsidRPr="006266B1">
        <w:rPr>
          <w:rFonts w:cs="Arial"/>
          <w:sz w:val="20"/>
          <w:szCs w:val="20"/>
          <w:u w:val="single"/>
        </w:rPr>
        <w:t>Results:</w:t>
      </w:r>
      <w:r w:rsidRPr="00F47BE6">
        <w:rPr>
          <w:rFonts w:cs="Arial"/>
          <w:sz w:val="20"/>
          <w:szCs w:val="20"/>
        </w:rPr>
        <w:t xml:space="preserve"> Fourteen overarching qualitative themes with thirteen subthemes were identified. Three main themes were found regarding what was currently happening in the hunger relief system including: (a) siloes with existing partnerships formed via referrals; (b) partnerships formed over time; and (c) looking for connections for more integration. Four main themes were found related to what key components are necessary for a strong hunger relief system including: (a) choice and autonomy for participants; (b) education/skill; (c) stigma; and (d) basic needs first. Seven main themes with multiple subthemes were found for potential integrative approaches to address food insecurity including: (a) creative solutions promoting collaboration that benefits individuals and families; (b) new systems/platforms for running programs; (c) policies; (d) food distribution/delivery systems; (e) fearless collaborations; (f) communication; and (g) intentional integration. </w:t>
      </w:r>
      <w:r w:rsidRPr="00F47BE6">
        <w:rPr>
          <w:rFonts w:cs="Arial"/>
          <w:sz w:val="20"/>
          <w:szCs w:val="20"/>
        </w:rPr>
        <w:br/>
      </w:r>
      <w:r w:rsidRPr="006266B1">
        <w:rPr>
          <w:rFonts w:cs="Arial"/>
          <w:sz w:val="20"/>
          <w:szCs w:val="20"/>
          <w:u w:val="single"/>
        </w:rPr>
        <w:t>Conclusions:</w:t>
      </w:r>
      <w:r w:rsidRPr="00F47BE6">
        <w:rPr>
          <w:rFonts w:cs="Arial"/>
          <w:sz w:val="20"/>
          <w:szCs w:val="20"/>
        </w:rPr>
        <w:t xml:space="preserve"> This study identified key factors that may contribute to developing and implementing integrative solutions to improve food security among families to inform clinical interventions such as creative solutions using faith-based sectors for implementation, breaking down siloes, leveraging current collaborations instead of reinventing the wheel, need for strong and flexible policy, and fearless collaboration.</w:t>
      </w:r>
    </w:p>
    <w:p w14:paraId="104DCC22" w14:textId="77777777" w:rsidR="006266B1" w:rsidRDefault="006266B1" w:rsidP="00D36E11">
      <w:pPr>
        <w:spacing w:after="0" w:line="240" w:lineRule="auto"/>
        <w:rPr>
          <w:rFonts w:cs="Arial"/>
          <w:b/>
          <w:sz w:val="20"/>
          <w:szCs w:val="20"/>
        </w:rPr>
      </w:pPr>
    </w:p>
    <w:p w14:paraId="185FD82D" w14:textId="6BFB63C8"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Genesis Sanchez</w:t>
      </w:r>
      <w:r w:rsidR="008104E7">
        <w:rPr>
          <w:rFonts w:cs="Arial"/>
          <w:sz w:val="20"/>
          <w:szCs w:val="20"/>
        </w:rPr>
        <w:t xml:space="preserve"> (1), </w:t>
      </w:r>
      <w:r w:rsidR="007E38C3" w:rsidRPr="00F47BE6">
        <w:rPr>
          <w:rFonts w:cs="Arial"/>
          <w:sz w:val="20"/>
          <w:szCs w:val="20"/>
        </w:rPr>
        <w:t>Elizabeth Bollinger</w:t>
      </w:r>
      <w:r w:rsidR="008104E7">
        <w:rPr>
          <w:rFonts w:cs="Arial"/>
          <w:sz w:val="20"/>
          <w:szCs w:val="20"/>
        </w:rPr>
        <w:t xml:space="preserve"> (1)</w:t>
      </w:r>
      <w:r w:rsidR="007E38C3" w:rsidRPr="00F47BE6">
        <w:rPr>
          <w:rFonts w:cs="Arial"/>
          <w:sz w:val="20"/>
          <w:szCs w:val="20"/>
        </w:rPr>
        <w:t>, Alejandra F. Diaz</w:t>
      </w:r>
      <w:r w:rsidR="008104E7">
        <w:rPr>
          <w:rFonts w:cs="Arial"/>
          <w:sz w:val="20"/>
          <w:szCs w:val="20"/>
        </w:rPr>
        <w:t xml:space="preserve"> (</w:t>
      </w:r>
      <w:r w:rsidR="00F83438">
        <w:rPr>
          <w:rFonts w:cs="Arial"/>
          <w:sz w:val="20"/>
          <w:szCs w:val="20"/>
        </w:rPr>
        <w:t>2)</w:t>
      </w:r>
      <w:r w:rsidR="007E38C3" w:rsidRPr="00F47BE6">
        <w:rPr>
          <w:rFonts w:cs="Arial"/>
          <w:sz w:val="20"/>
          <w:szCs w:val="20"/>
        </w:rPr>
        <w:t>, Bridget Hillard</w:t>
      </w:r>
      <w:r w:rsidR="00F83438">
        <w:rPr>
          <w:rFonts w:cs="Arial"/>
          <w:sz w:val="20"/>
          <w:szCs w:val="20"/>
        </w:rPr>
        <w:t xml:space="preserve"> (2)</w:t>
      </w:r>
      <w:r w:rsidR="007E38C3" w:rsidRPr="00F47BE6">
        <w:rPr>
          <w:rFonts w:cs="Arial"/>
          <w:sz w:val="20"/>
          <w:szCs w:val="20"/>
        </w:rPr>
        <w:t>, Julia Landivar Donato</w:t>
      </w:r>
      <w:r w:rsidR="00F83438">
        <w:rPr>
          <w:rFonts w:cs="Arial"/>
          <w:sz w:val="20"/>
          <w:szCs w:val="20"/>
        </w:rPr>
        <w:t xml:space="preserve"> (1)</w:t>
      </w:r>
      <w:r w:rsidR="007E38C3" w:rsidRPr="00F47BE6">
        <w:rPr>
          <w:rFonts w:cs="Arial"/>
          <w:sz w:val="20"/>
          <w:szCs w:val="20"/>
        </w:rPr>
        <w:t>, Tanner Schmitz</w:t>
      </w:r>
      <w:r w:rsidR="00F83438">
        <w:rPr>
          <w:rFonts w:cs="Arial"/>
          <w:sz w:val="20"/>
          <w:szCs w:val="20"/>
        </w:rPr>
        <w:t xml:space="preserve"> (1)</w:t>
      </w:r>
      <w:r w:rsidR="007E38C3" w:rsidRPr="00F47BE6">
        <w:rPr>
          <w:rFonts w:cs="Arial"/>
          <w:sz w:val="20"/>
          <w:szCs w:val="20"/>
        </w:rPr>
        <w:t>, Maggie K. Edgerley</w:t>
      </w:r>
      <w:r w:rsidR="00F83438">
        <w:rPr>
          <w:rFonts w:cs="Arial"/>
          <w:sz w:val="20"/>
          <w:szCs w:val="20"/>
        </w:rPr>
        <w:t xml:space="preserve"> (1)</w:t>
      </w:r>
      <w:r w:rsidR="007E38C3" w:rsidRPr="00F47BE6">
        <w:rPr>
          <w:rFonts w:cs="Arial"/>
          <w:sz w:val="20"/>
          <w:szCs w:val="20"/>
        </w:rPr>
        <w:t>, Jerica M. Berge</w:t>
      </w:r>
      <w:r w:rsidR="00F83438">
        <w:rPr>
          <w:rFonts w:cs="Arial"/>
          <w:sz w:val="20"/>
          <w:szCs w:val="20"/>
        </w:rPr>
        <w:t xml:space="preserve"> (1,3)</w:t>
      </w:r>
    </w:p>
    <w:p w14:paraId="41B58A91" w14:textId="77777777" w:rsidR="008104E7" w:rsidRDefault="008104E7" w:rsidP="00D36E11">
      <w:pPr>
        <w:spacing w:after="0" w:line="240" w:lineRule="auto"/>
        <w:rPr>
          <w:rFonts w:cs="Arial"/>
          <w:sz w:val="20"/>
          <w:szCs w:val="20"/>
        </w:rPr>
      </w:pPr>
    </w:p>
    <w:p w14:paraId="6C7C1D7C" w14:textId="38BE4677" w:rsidR="008104E7" w:rsidRPr="008104E7" w:rsidRDefault="008104E7" w:rsidP="00D36E11">
      <w:pPr>
        <w:spacing w:after="0" w:line="240" w:lineRule="auto"/>
        <w:rPr>
          <w:sz w:val="20"/>
          <w:szCs w:val="20"/>
        </w:rPr>
      </w:pPr>
      <w:r>
        <w:rPr>
          <w:sz w:val="20"/>
          <w:szCs w:val="20"/>
        </w:rPr>
        <w:t xml:space="preserve">(1) </w:t>
      </w:r>
      <w:r w:rsidRPr="00F47BE6">
        <w:rPr>
          <w:rFonts w:cs="Arial"/>
          <w:sz w:val="20"/>
          <w:szCs w:val="20"/>
        </w:rPr>
        <w:t xml:space="preserve">Adult and Child Center for Outcomes Research and Delivery Science (ACCORDS), University of Colorado School of Medicine </w:t>
      </w:r>
      <w:r w:rsidRPr="00F47BE6">
        <w:rPr>
          <w:rFonts w:cs="Arial"/>
          <w:sz w:val="20"/>
          <w:szCs w:val="20"/>
        </w:rPr>
        <w:br/>
      </w:r>
      <w:r>
        <w:rPr>
          <w:sz w:val="20"/>
          <w:szCs w:val="20"/>
        </w:rPr>
        <w:t xml:space="preserve">(2) </w:t>
      </w:r>
      <w:r w:rsidRPr="00F47BE6">
        <w:rPr>
          <w:rFonts w:cs="Arial"/>
          <w:sz w:val="20"/>
          <w:szCs w:val="20"/>
        </w:rPr>
        <w:t xml:space="preserve">Hubert H. Humphrey School of Public Affairs, University of Minnesota </w:t>
      </w:r>
      <w:r w:rsidRPr="00F47BE6">
        <w:rPr>
          <w:rFonts w:cs="Arial"/>
          <w:sz w:val="20"/>
          <w:szCs w:val="20"/>
        </w:rPr>
        <w:br/>
      </w:r>
      <w:r>
        <w:rPr>
          <w:sz w:val="20"/>
          <w:szCs w:val="20"/>
        </w:rPr>
        <w:t xml:space="preserve">(3) </w:t>
      </w:r>
      <w:r w:rsidRPr="00F47BE6">
        <w:rPr>
          <w:rFonts w:cs="Arial"/>
          <w:sz w:val="20"/>
          <w:szCs w:val="20"/>
        </w:rPr>
        <w:t>Department of Family Medicine, University of Colorado School of Medicine</w:t>
      </w:r>
    </w:p>
    <w:p w14:paraId="2FF4FD4E" w14:textId="77777777" w:rsidR="00002CD7" w:rsidRDefault="00002CD7" w:rsidP="00D36E11">
      <w:pPr>
        <w:spacing w:after="0" w:line="240" w:lineRule="auto"/>
        <w:rPr>
          <w:rFonts w:cs="Arial"/>
          <w:sz w:val="20"/>
          <w:szCs w:val="20"/>
        </w:rPr>
      </w:pPr>
    </w:p>
    <w:p w14:paraId="0E908F67" w14:textId="77777777" w:rsidR="00F83438" w:rsidRPr="00F47BE6" w:rsidRDefault="00F83438" w:rsidP="00D36E11">
      <w:pPr>
        <w:spacing w:after="0" w:line="240" w:lineRule="auto"/>
        <w:rPr>
          <w:rFonts w:cs="Arial"/>
          <w:sz w:val="20"/>
          <w:szCs w:val="20"/>
        </w:rPr>
      </w:pPr>
    </w:p>
    <w:p w14:paraId="0F7AB1D9" w14:textId="7AAFE70F" w:rsidR="00002CD7" w:rsidRPr="00751DA1" w:rsidRDefault="00CD5070" w:rsidP="00D36E11">
      <w:pPr>
        <w:spacing w:after="0" w:line="240" w:lineRule="auto"/>
        <w:rPr>
          <w:rFonts w:cs="Arial"/>
          <w:sz w:val="20"/>
          <w:szCs w:val="20"/>
          <w:u w:val="single"/>
        </w:rPr>
      </w:pPr>
      <w:r>
        <w:rPr>
          <w:rFonts w:cs="Arial"/>
          <w:b/>
          <w:sz w:val="20"/>
          <w:szCs w:val="20"/>
          <w:u w:val="single"/>
        </w:rPr>
        <w:t xml:space="preserve">37. </w:t>
      </w:r>
      <w:r w:rsidR="007E38C3" w:rsidRPr="00751DA1">
        <w:rPr>
          <w:rFonts w:cs="Arial"/>
          <w:b/>
          <w:sz w:val="20"/>
          <w:szCs w:val="20"/>
          <w:u w:val="single"/>
        </w:rPr>
        <w:t>Advancing Maternal and Child Health Research Through the Denver Health- LEAD Center ECHO Partnership</w:t>
      </w:r>
    </w:p>
    <w:p w14:paraId="73E60012" w14:textId="77777777" w:rsidR="007A7813" w:rsidRDefault="007A7813" w:rsidP="00D36E11">
      <w:pPr>
        <w:spacing w:after="0" w:line="240" w:lineRule="auto"/>
        <w:rPr>
          <w:rFonts w:cs="Arial"/>
          <w:b/>
          <w:sz w:val="20"/>
          <w:szCs w:val="20"/>
        </w:rPr>
      </w:pPr>
    </w:p>
    <w:p w14:paraId="71059BC9" w14:textId="4C04EC31"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Salma Moreno, Denver Health</w:t>
      </w:r>
    </w:p>
    <w:p w14:paraId="0ED3F7BF" w14:textId="77777777" w:rsidR="007A7813" w:rsidRDefault="007A7813" w:rsidP="00D36E11">
      <w:pPr>
        <w:spacing w:after="0" w:line="240" w:lineRule="auto"/>
        <w:rPr>
          <w:rFonts w:cs="Arial"/>
          <w:sz w:val="20"/>
          <w:szCs w:val="20"/>
        </w:rPr>
      </w:pPr>
    </w:p>
    <w:p w14:paraId="3E353787" w14:textId="77777777" w:rsidR="00E97CE0" w:rsidRDefault="007E38C3" w:rsidP="00D36E11">
      <w:pPr>
        <w:spacing w:after="0" w:line="240" w:lineRule="auto"/>
        <w:rPr>
          <w:rFonts w:cs="Arial"/>
          <w:sz w:val="20"/>
          <w:szCs w:val="20"/>
        </w:rPr>
      </w:pPr>
      <w:r w:rsidRPr="00E97CE0">
        <w:rPr>
          <w:rFonts w:cs="Arial"/>
          <w:sz w:val="20"/>
          <w:szCs w:val="20"/>
          <w:u w:val="single"/>
        </w:rPr>
        <w:t>Background:</w:t>
      </w:r>
      <w:r w:rsidRPr="00F47BE6">
        <w:rPr>
          <w:rFonts w:cs="Arial"/>
          <w:sz w:val="20"/>
          <w:szCs w:val="20"/>
        </w:rPr>
        <w:t xml:space="preserve"> The NIH Environmental influences on Child Health Outcomes (ECHO) Program is a national, longitudinal study examining the effects of early environmental factors on child health and development. Inclusion of participants from different backgrounds is important to increase representativeness of ECHO findings. We describe a partnership between Denver Health (DH) and the University of Colorado’s Lifecourse Epidemiology of Adiposity &amp; Diabetes (LEAD) Center to increase research participation of safety-net patients in ECHO.</w:t>
      </w:r>
    </w:p>
    <w:p w14:paraId="7F365292" w14:textId="60CB6F4A" w:rsidR="00002CD7" w:rsidRPr="00F47BE6" w:rsidRDefault="007E38C3" w:rsidP="00D36E11">
      <w:pPr>
        <w:spacing w:after="0" w:line="240" w:lineRule="auto"/>
        <w:rPr>
          <w:rFonts w:cs="Arial"/>
          <w:sz w:val="20"/>
          <w:szCs w:val="20"/>
        </w:rPr>
      </w:pPr>
      <w:r w:rsidRPr="00E97CE0">
        <w:rPr>
          <w:rFonts w:cs="Arial"/>
          <w:sz w:val="20"/>
          <w:szCs w:val="20"/>
          <w:u w:val="single"/>
        </w:rPr>
        <w:t>Methods:</w:t>
      </w:r>
      <w:r w:rsidRPr="00F47BE6">
        <w:rPr>
          <w:rFonts w:cs="Arial"/>
          <w:sz w:val="20"/>
          <w:szCs w:val="20"/>
        </w:rPr>
        <w:t xml:space="preserve"> DH recruits and enrolls pregnant patients into the ECHO study during clinical care and coordinates cord blood (CB) collection at delivery. The LEAD Center collects additional survey data and biospecimens at initial and follow-up study visits. The teams from the two institutions have successfully developed shared processes for communication, data sharing, follow-up, Epic documentation, and CB collection. The teams collaborate to identify challenges and adjust workflows to increase efficiency, achieve ECHO data collection goals, maintain compliance, and enhance participant experience and retention.</w:t>
      </w:r>
      <w:r w:rsidRPr="00F47BE6">
        <w:rPr>
          <w:rFonts w:cs="Arial"/>
          <w:sz w:val="20"/>
          <w:szCs w:val="20"/>
        </w:rPr>
        <w:br/>
      </w:r>
      <w:r w:rsidRPr="00E97CE0">
        <w:rPr>
          <w:rFonts w:cs="Arial"/>
          <w:sz w:val="20"/>
          <w:szCs w:val="20"/>
          <w:u w:val="single"/>
        </w:rPr>
        <w:t>Results:</w:t>
      </w:r>
      <w:r w:rsidRPr="00F47BE6">
        <w:rPr>
          <w:rFonts w:cs="Arial"/>
          <w:sz w:val="20"/>
          <w:szCs w:val="20"/>
        </w:rPr>
        <w:t xml:space="preserve"> From February 2023 to August 2026, the DH-LEAD partnership enrolled 345 maternal and 255 child participants. Among DH participants, 75% identified as other non-Hispanic white, compared to 58% nationally in ECHO. Among DH-LEAD maternal participants, 52.8% (n=182) identified as Hispanic/Latina, 14.8% (n=51) as Black/African American, 14.2% (n=49) preferred Spanish, highlighting the partnership’s reach among underserved populations. As of August 2026, 290 participants </w:t>
      </w:r>
      <w:proofErr w:type="gramStart"/>
      <w:r w:rsidRPr="00F47BE6">
        <w:rPr>
          <w:rFonts w:cs="Arial"/>
          <w:sz w:val="20"/>
          <w:szCs w:val="20"/>
        </w:rPr>
        <w:t>have completed</w:t>
      </w:r>
      <w:proofErr w:type="gramEnd"/>
      <w:r w:rsidRPr="00F47BE6">
        <w:rPr>
          <w:rFonts w:cs="Arial"/>
          <w:sz w:val="20"/>
          <w:szCs w:val="20"/>
        </w:rPr>
        <w:t xml:space="preserve"> their first in-person visit at LEAD and 249 </w:t>
      </w:r>
      <w:proofErr w:type="gramStart"/>
      <w:r w:rsidRPr="00F47BE6">
        <w:rPr>
          <w:rFonts w:cs="Arial"/>
          <w:sz w:val="20"/>
          <w:szCs w:val="20"/>
        </w:rPr>
        <w:t>have completed</w:t>
      </w:r>
      <w:proofErr w:type="gramEnd"/>
      <w:r w:rsidRPr="00F47BE6">
        <w:rPr>
          <w:rFonts w:cs="Arial"/>
          <w:sz w:val="20"/>
          <w:szCs w:val="20"/>
        </w:rPr>
        <w:t xml:space="preserve"> second visit. Since April 2025, of the 111 participants who opted in for CB collection and have delivered, CB was successfully collected for 67.6% (n=75).</w:t>
      </w:r>
      <w:r w:rsidRPr="00F47BE6">
        <w:rPr>
          <w:rFonts w:cs="Arial"/>
          <w:sz w:val="20"/>
          <w:szCs w:val="20"/>
        </w:rPr>
        <w:br/>
      </w:r>
      <w:r w:rsidRPr="00E97CE0">
        <w:rPr>
          <w:rFonts w:cs="Arial"/>
          <w:sz w:val="20"/>
          <w:szCs w:val="20"/>
          <w:u w:val="single"/>
        </w:rPr>
        <w:t>Discussion:</w:t>
      </w:r>
      <w:r w:rsidRPr="00F47BE6">
        <w:rPr>
          <w:rFonts w:cs="Arial"/>
          <w:sz w:val="20"/>
          <w:szCs w:val="20"/>
        </w:rPr>
        <w:t xml:space="preserve"> The DH-LEAD partnership increased ECHO access for patients at DH. Lessons learned include leveraging clinical relationships and communication channels. Flexible workflows and joint problem-solving helped address follow-up and biospecimen collection challenges. These lessons may help other research teams develop partnerships to increase research participation of underserved populations.</w:t>
      </w:r>
    </w:p>
    <w:p w14:paraId="4EC37B9D" w14:textId="77777777" w:rsidR="00E97CE0" w:rsidRDefault="00E97CE0" w:rsidP="00D36E11">
      <w:pPr>
        <w:spacing w:after="0" w:line="240" w:lineRule="auto"/>
        <w:rPr>
          <w:rFonts w:cs="Arial"/>
          <w:b/>
          <w:sz w:val="20"/>
          <w:szCs w:val="20"/>
        </w:rPr>
      </w:pPr>
    </w:p>
    <w:p w14:paraId="620AA240" w14:textId="7F6C13FB"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Karina Duarte, MPH</w:t>
      </w:r>
      <w:r w:rsidR="008B5533">
        <w:rPr>
          <w:rFonts w:cs="Arial"/>
          <w:sz w:val="20"/>
          <w:szCs w:val="20"/>
        </w:rPr>
        <w:t xml:space="preserve"> (1)</w:t>
      </w:r>
      <w:r w:rsidR="00BA3372">
        <w:rPr>
          <w:rFonts w:cs="Arial"/>
          <w:sz w:val="20"/>
          <w:szCs w:val="20"/>
        </w:rPr>
        <w:t xml:space="preserve">, </w:t>
      </w:r>
      <w:r w:rsidR="007E38C3" w:rsidRPr="00F47BE6">
        <w:rPr>
          <w:rFonts w:cs="Arial"/>
          <w:sz w:val="20"/>
          <w:szCs w:val="20"/>
        </w:rPr>
        <w:t>Chloe Friedman, PhD, MPH</w:t>
      </w:r>
      <w:r w:rsidR="00BA3372">
        <w:rPr>
          <w:rFonts w:cs="Arial"/>
          <w:sz w:val="20"/>
          <w:szCs w:val="20"/>
        </w:rPr>
        <w:t xml:space="preserve"> (2), </w:t>
      </w:r>
      <w:r w:rsidR="007E38C3" w:rsidRPr="00F47BE6">
        <w:rPr>
          <w:rFonts w:cs="Arial"/>
          <w:sz w:val="20"/>
          <w:szCs w:val="20"/>
        </w:rPr>
        <w:t>Salma Moreno</w:t>
      </w:r>
      <w:r w:rsidR="00BA3372">
        <w:rPr>
          <w:rFonts w:cs="Arial"/>
          <w:sz w:val="20"/>
          <w:szCs w:val="20"/>
        </w:rPr>
        <w:t xml:space="preserve"> (3), </w:t>
      </w:r>
      <w:r w:rsidR="007E38C3" w:rsidRPr="00F47BE6">
        <w:rPr>
          <w:rFonts w:cs="Arial"/>
          <w:sz w:val="20"/>
          <w:szCs w:val="20"/>
        </w:rPr>
        <w:t>Jenny Aalborg</w:t>
      </w:r>
      <w:r w:rsidR="00BA3372">
        <w:rPr>
          <w:rFonts w:cs="Arial"/>
          <w:sz w:val="20"/>
          <w:szCs w:val="20"/>
        </w:rPr>
        <w:t xml:space="preserve"> (</w:t>
      </w:r>
      <w:r w:rsidR="00496138">
        <w:rPr>
          <w:rFonts w:cs="Arial"/>
          <w:sz w:val="20"/>
          <w:szCs w:val="20"/>
        </w:rPr>
        <w:t>2)</w:t>
      </w:r>
      <w:r w:rsidR="007E38C3" w:rsidRPr="00F47BE6">
        <w:rPr>
          <w:rFonts w:cs="Arial"/>
          <w:sz w:val="20"/>
          <w:szCs w:val="20"/>
        </w:rPr>
        <w:t>, Lucy Hall, MS</w:t>
      </w:r>
      <w:r w:rsidR="00496138">
        <w:rPr>
          <w:rFonts w:cs="Arial"/>
          <w:sz w:val="20"/>
          <w:szCs w:val="20"/>
        </w:rPr>
        <w:t xml:space="preserve"> (2), </w:t>
      </w:r>
      <w:r w:rsidR="007E38C3" w:rsidRPr="00F47BE6">
        <w:rPr>
          <w:rFonts w:cs="Arial"/>
          <w:sz w:val="20"/>
          <w:szCs w:val="20"/>
        </w:rPr>
        <w:t>Jayna DeRoeck, MS</w:t>
      </w:r>
      <w:r w:rsidR="00496138">
        <w:rPr>
          <w:rFonts w:cs="Arial"/>
          <w:sz w:val="20"/>
          <w:szCs w:val="20"/>
        </w:rPr>
        <w:t xml:space="preserve"> (3), </w:t>
      </w:r>
      <w:r w:rsidR="007E38C3" w:rsidRPr="00F47BE6">
        <w:rPr>
          <w:rFonts w:cs="Arial"/>
          <w:sz w:val="20"/>
          <w:szCs w:val="20"/>
        </w:rPr>
        <w:t>Silvia Gutierrez-Raghunath, MBA</w:t>
      </w:r>
      <w:r w:rsidR="00496138">
        <w:rPr>
          <w:rFonts w:cs="Arial"/>
          <w:sz w:val="20"/>
          <w:szCs w:val="20"/>
        </w:rPr>
        <w:t xml:space="preserve"> (1), </w:t>
      </w:r>
      <w:r w:rsidR="007E38C3" w:rsidRPr="00F47BE6">
        <w:rPr>
          <w:rFonts w:cs="Arial"/>
          <w:sz w:val="20"/>
          <w:szCs w:val="20"/>
        </w:rPr>
        <w:t>Cindy Martines, BS</w:t>
      </w:r>
      <w:r w:rsidR="00496138">
        <w:rPr>
          <w:rFonts w:cs="Arial"/>
          <w:sz w:val="20"/>
          <w:szCs w:val="20"/>
        </w:rPr>
        <w:t xml:space="preserve"> (1), </w:t>
      </w:r>
      <w:r w:rsidR="007E38C3" w:rsidRPr="00F47BE6">
        <w:rPr>
          <w:rFonts w:cs="Arial"/>
          <w:sz w:val="20"/>
          <w:szCs w:val="20"/>
        </w:rPr>
        <w:t>Anne Starling, PhD</w:t>
      </w:r>
      <w:r w:rsidR="00496138">
        <w:rPr>
          <w:rFonts w:cs="Arial"/>
          <w:sz w:val="20"/>
          <w:szCs w:val="20"/>
        </w:rPr>
        <w:t xml:space="preserve"> (</w:t>
      </w:r>
      <w:r w:rsidR="003A5772">
        <w:rPr>
          <w:rFonts w:cs="Arial"/>
          <w:sz w:val="20"/>
          <w:szCs w:val="20"/>
        </w:rPr>
        <w:t>2,</w:t>
      </w:r>
      <w:r w:rsidR="00496138">
        <w:rPr>
          <w:rFonts w:cs="Arial"/>
          <w:sz w:val="20"/>
          <w:szCs w:val="20"/>
        </w:rPr>
        <w:t>4),</w:t>
      </w:r>
      <w:r w:rsidR="003A5772">
        <w:rPr>
          <w:rFonts w:cs="Arial"/>
          <w:sz w:val="20"/>
          <w:szCs w:val="20"/>
        </w:rPr>
        <w:t xml:space="preserve"> </w:t>
      </w:r>
      <w:r w:rsidR="007E38C3" w:rsidRPr="00F47BE6">
        <w:rPr>
          <w:rFonts w:cs="Arial"/>
          <w:sz w:val="20"/>
          <w:szCs w:val="20"/>
        </w:rPr>
        <w:t>Brianna Moore, PhD, MS</w:t>
      </w:r>
      <w:r w:rsidR="003A5772">
        <w:rPr>
          <w:rFonts w:cs="Arial"/>
          <w:sz w:val="20"/>
          <w:szCs w:val="20"/>
        </w:rPr>
        <w:t xml:space="preserve"> (2),</w:t>
      </w:r>
      <w:r w:rsidR="003A5772" w:rsidRPr="00F47BE6">
        <w:rPr>
          <w:rFonts w:cs="Arial"/>
          <w:sz w:val="20"/>
          <w:szCs w:val="20"/>
        </w:rPr>
        <w:t xml:space="preserve"> </w:t>
      </w:r>
      <w:r w:rsidR="007E38C3" w:rsidRPr="00F47BE6">
        <w:rPr>
          <w:rFonts w:cs="Arial"/>
          <w:sz w:val="20"/>
          <w:szCs w:val="20"/>
        </w:rPr>
        <w:t>Sydney Archer, MD, MPH</w:t>
      </w:r>
      <w:r w:rsidR="003A5772">
        <w:rPr>
          <w:rFonts w:cs="Arial"/>
          <w:sz w:val="20"/>
          <w:szCs w:val="20"/>
        </w:rPr>
        <w:t xml:space="preserve"> (1), </w:t>
      </w:r>
      <w:r w:rsidR="007E38C3" w:rsidRPr="00F47BE6">
        <w:rPr>
          <w:rFonts w:cs="Arial"/>
          <w:sz w:val="20"/>
          <w:szCs w:val="20"/>
        </w:rPr>
        <w:t>Dana Dabelea, MD, PhD</w:t>
      </w:r>
      <w:r w:rsidR="003A5772">
        <w:rPr>
          <w:rFonts w:cs="Arial"/>
          <w:sz w:val="20"/>
          <w:szCs w:val="20"/>
        </w:rPr>
        <w:t xml:space="preserve"> (2), </w:t>
      </w:r>
      <w:r w:rsidR="007E38C3" w:rsidRPr="00F47BE6">
        <w:rPr>
          <w:rFonts w:cs="Arial"/>
          <w:sz w:val="20"/>
          <w:szCs w:val="20"/>
        </w:rPr>
        <w:t>Deborah Rinehart, PhD, MA</w:t>
      </w:r>
      <w:r w:rsidR="003A5772">
        <w:rPr>
          <w:rFonts w:cs="Arial"/>
          <w:sz w:val="20"/>
          <w:szCs w:val="20"/>
        </w:rPr>
        <w:t xml:space="preserve"> (1</w:t>
      </w:r>
      <w:r w:rsidR="00895E88">
        <w:rPr>
          <w:rFonts w:cs="Arial"/>
          <w:sz w:val="20"/>
          <w:szCs w:val="20"/>
        </w:rPr>
        <w:t>,5</w:t>
      </w:r>
      <w:r w:rsidR="003A5772">
        <w:rPr>
          <w:rFonts w:cs="Arial"/>
          <w:sz w:val="20"/>
          <w:szCs w:val="20"/>
        </w:rPr>
        <w:t>)</w:t>
      </w:r>
    </w:p>
    <w:p w14:paraId="17F2DE37" w14:textId="77777777" w:rsidR="008B5533" w:rsidRDefault="008B5533" w:rsidP="00D36E11">
      <w:pPr>
        <w:spacing w:after="0" w:line="240" w:lineRule="auto"/>
        <w:rPr>
          <w:rFonts w:cs="Arial"/>
          <w:sz w:val="20"/>
          <w:szCs w:val="20"/>
        </w:rPr>
      </w:pPr>
    </w:p>
    <w:p w14:paraId="3A72EF53" w14:textId="77777777" w:rsidR="008B5533" w:rsidRPr="008B5533" w:rsidRDefault="008B5533" w:rsidP="00D36E11">
      <w:pPr>
        <w:widowControl w:val="0"/>
        <w:autoSpaceDE w:val="0"/>
        <w:autoSpaceDN w:val="0"/>
        <w:spacing w:after="0" w:line="240" w:lineRule="auto"/>
        <w:rPr>
          <w:rFonts w:eastAsia="Arial" w:cs="Arial"/>
          <w:sz w:val="20"/>
          <w:szCs w:val="20"/>
          <w:lang w:bidi="en-US"/>
        </w:rPr>
      </w:pPr>
      <w:r w:rsidRPr="008B5533">
        <w:rPr>
          <w:rFonts w:eastAsia="Arial" w:cs="Arial"/>
          <w:sz w:val="20"/>
          <w:szCs w:val="20"/>
          <w:lang w:bidi="en-US"/>
        </w:rPr>
        <w:t>(1) Center for Health Systems Research, Denver Health and Hospital Authority</w:t>
      </w:r>
      <w:r w:rsidRPr="008B5533">
        <w:rPr>
          <w:rFonts w:eastAsia="Arial" w:cs="Arial"/>
          <w:sz w:val="20"/>
          <w:szCs w:val="20"/>
          <w:lang w:bidi="en-US"/>
        </w:rPr>
        <w:br/>
        <w:t>(2) University of Colorado Anschutz, LEAD Center</w:t>
      </w:r>
      <w:r w:rsidRPr="008B5533">
        <w:rPr>
          <w:rFonts w:eastAsia="Arial" w:cs="Arial"/>
          <w:sz w:val="20"/>
          <w:szCs w:val="20"/>
          <w:lang w:bidi="en-US"/>
        </w:rPr>
        <w:br/>
        <w:t>(3) Office of Research, Denver Health and Hospital Authority</w:t>
      </w:r>
      <w:r w:rsidRPr="008B5533">
        <w:rPr>
          <w:rFonts w:eastAsia="Arial" w:cs="Arial"/>
          <w:sz w:val="20"/>
          <w:szCs w:val="20"/>
          <w:lang w:bidi="en-US"/>
        </w:rPr>
        <w:br/>
        <w:t>(4) University of North Carolina, Chapel Hill</w:t>
      </w:r>
    </w:p>
    <w:p w14:paraId="66540576" w14:textId="77777777" w:rsidR="008B5533" w:rsidRPr="008B5533" w:rsidRDefault="008B5533" w:rsidP="00D36E11">
      <w:pPr>
        <w:widowControl w:val="0"/>
        <w:autoSpaceDE w:val="0"/>
        <w:autoSpaceDN w:val="0"/>
        <w:spacing w:after="0" w:line="240" w:lineRule="auto"/>
        <w:rPr>
          <w:rFonts w:eastAsia="Arial" w:cs="Arial"/>
          <w:sz w:val="20"/>
          <w:szCs w:val="20"/>
          <w:lang w:bidi="en-US"/>
        </w:rPr>
      </w:pPr>
      <w:r w:rsidRPr="008B5533">
        <w:rPr>
          <w:rFonts w:eastAsia="Arial" w:cs="Arial"/>
          <w:sz w:val="20"/>
          <w:szCs w:val="20"/>
          <w:lang w:bidi="en-US"/>
        </w:rPr>
        <w:t>(5) Division of General Internal Medicine, University of Colorado Anschutz</w:t>
      </w:r>
    </w:p>
    <w:p w14:paraId="4C77C545" w14:textId="77777777" w:rsidR="008B5533" w:rsidRPr="00F47BE6" w:rsidRDefault="008B5533" w:rsidP="00D36E11">
      <w:pPr>
        <w:spacing w:after="0" w:line="240" w:lineRule="auto"/>
        <w:rPr>
          <w:rFonts w:cs="Arial"/>
          <w:sz w:val="20"/>
          <w:szCs w:val="20"/>
        </w:rPr>
      </w:pPr>
    </w:p>
    <w:p w14:paraId="4CFF4ACA" w14:textId="77777777" w:rsidR="00002CD7" w:rsidRPr="00F47BE6" w:rsidRDefault="00002CD7" w:rsidP="00D36E11">
      <w:pPr>
        <w:spacing w:after="0" w:line="240" w:lineRule="auto"/>
        <w:rPr>
          <w:rFonts w:cs="Arial"/>
          <w:sz w:val="20"/>
          <w:szCs w:val="20"/>
        </w:rPr>
      </w:pPr>
    </w:p>
    <w:p w14:paraId="70E62EBF" w14:textId="7F34FB53" w:rsidR="00002CD7" w:rsidRPr="00751DA1" w:rsidRDefault="00682F1F" w:rsidP="00D36E11">
      <w:pPr>
        <w:spacing w:after="0" w:line="240" w:lineRule="auto"/>
        <w:rPr>
          <w:rFonts w:cs="Arial"/>
          <w:sz w:val="20"/>
          <w:szCs w:val="20"/>
          <w:u w:val="single"/>
        </w:rPr>
      </w:pPr>
      <w:r>
        <w:rPr>
          <w:rFonts w:cs="Arial"/>
          <w:b/>
          <w:sz w:val="20"/>
          <w:szCs w:val="20"/>
          <w:u w:val="single"/>
        </w:rPr>
        <w:t xml:space="preserve">38. </w:t>
      </w:r>
      <w:r w:rsidR="007E38C3" w:rsidRPr="00751DA1">
        <w:rPr>
          <w:rFonts w:cs="Arial"/>
          <w:b/>
          <w:sz w:val="20"/>
          <w:szCs w:val="20"/>
          <w:u w:val="single"/>
        </w:rPr>
        <w:t>Understanding the Prevalence and Cost of Chronic Conditions in Colorado Using the Colorado All Payer Claims Database</w:t>
      </w:r>
    </w:p>
    <w:p w14:paraId="21E81DD3" w14:textId="77777777" w:rsidR="00E97CE0" w:rsidRDefault="00E97CE0" w:rsidP="00D36E11">
      <w:pPr>
        <w:spacing w:after="0" w:line="240" w:lineRule="auto"/>
        <w:rPr>
          <w:rFonts w:cs="Arial"/>
          <w:b/>
          <w:sz w:val="20"/>
          <w:szCs w:val="20"/>
        </w:rPr>
      </w:pPr>
    </w:p>
    <w:p w14:paraId="499C537E" w14:textId="63146EB6"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Liz Mooney, Center for Improving Value in Health Care</w:t>
      </w:r>
    </w:p>
    <w:p w14:paraId="32F019C2" w14:textId="77777777" w:rsidR="00E97CE0" w:rsidRDefault="00E97CE0" w:rsidP="00D36E11">
      <w:pPr>
        <w:spacing w:after="0" w:line="240" w:lineRule="auto"/>
        <w:rPr>
          <w:rFonts w:cs="Arial"/>
          <w:sz w:val="20"/>
          <w:szCs w:val="20"/>
        </w:rPr>
      </w:pPr>
    </w:p>
    <w:p w14:paraId="0D3BD73A" w14:textId="53C15930" w:rsidR="00002CD7" w:rsidRPr="00F47BE6" w:rsidRDefault="007E38C3" w:rsidP="00D36E11">
      <w:pPr>
        <w:spacing w:after="0" w:line="240" w:lineRule="auto"/>
        <w:rPr>
          <w:rFonts w:cs="Arial"/>
          <w:sz w:val="20"/>
          <w:szCs w:val="20"/>
        </w:rPr>
      </w:pPr>
      <w:r w:rsidRPr="00E97CE0">
        <w:rPr>
          <w:rFonts w:cs="Arial"/>
          <w:sz w:val="20"/>
          <w:szCs w:val="20"/>
          <w:u w:val="single"/>
        </w:rPr>
        <w:t>Background:</w:t>
      </w:r>
      <w:r w:rsidR="00E97CE0">
        <w:rPr>
          <w:rFonts w:cs="Arial"/>
          <w:sz w:val="20"/>
          <w:szCs w:val="20"/>
        </w:rPr>
        <w:t xml:space="preserve"> </w:t>
      </w:r>
      <w:r w:rsidRPr="00F47BE6">
        <w:rPr>
          <w:rFonts w:cs="Arial"/>
          <w:sz w:val="20"/>
          <w:szCs w:val="20"/>
        </w:rPr>
        <w:t>Chronic conditions are leading causes of death and disability in the United States and contribute substantially to health care costs. National data can obscure regional and payer-specific variation. Using the Colorado All Payer Claims Database (CO APCD), this study quantified the prevalence and health care costs of 30 chronic conditions across payer types and Colorado communities to support targeted health improvement efforts.</w:t>
      </w:r>
      <w:r w:rsidRPr="00F47BE6">
        <w:rPr>
          <w:rFonts w:cs="Arial"/>
          <w:sz w:val="20"/>
          <w:szCs w:val="20"/>
        </w:rPr>
        <w:br/>
      </w:r>
      <w:r w:rsidRPr="00E97CE0">
        <w:rPr>
          <w:rFonts w:cs="Arial"/>
          <w:sz w:val="20"/>
          <w:szCs w:val="20"/>
          <w:u w:val="single"/>
        </w:rPr>
        <w:t>Methods:</w:t>
      </w:r>
      <w:r w:rsidR="00E97CE0">
        <w:rPr>
          <w:rFonts w:cs="Arial"/>
          <w:sz w:val="20"/>
          <w:szCs w:val="20"/>
        </w:rPr>
        <w:t xml:space="preserve"> </w:t>
      </w:r>
      <w:r w:rsidRPr="00F47BE6">
        <w:rPr>
          <w:rFonts w:cs="Arial"/>
          <w:sz w:val="20"/>
          <w:szCs w:val="20"/>
        </w:rPr>
        <w:t>CIVHC conducted a cross-sectional analysis of 2017-2023 CO APCD claims for people covered by commercial insurance, Medicaid, Medicare Advantage, and Medicare Fee-for-Service. Conditions were identified using the Centers for Medicare &amp; Medicaid Services (CMS) Chronic Conditions algorithm. Analysts calculated condition prevalence, including multimorbidity, total annual health care spending, and cost per person per year, with results examined by payer, geography, and demographic characteristics. Costs reflect all annual health care spending for people with a condition, not only treatment of that condition.</w:t>
      </w:r>
      <w:r w:rsidRPr="00F47BE6">
        <w:rPr>
          <w:rFonts w:cs="Arial"/>
          <w:sz w:val="20"/>
          <w:szCs w:val="20"/>
        </w:rPr>
        <w:br/>
      </w:r>
      <w:r w:rsidRPr="00E97CE0">
        <w:rPr>
          <w:rFonts w:cs="Arial"/>
          <w:sz w:val="20"/>
          <w:szCs w:val="20"/>
          <w:u w:val="single"/>
        </w:rPr>
        <w:t>Results:</w:t>
      </w:r>
      <w:r w:rsidR="00E97CE0">
        <w:rPr>
          <w:rFonts w:cs="Arial"/>
          <w:sz w:val="20"/>
          <w:szCs w:val="20"/>
        </w:rPr>
        <w:t xml:space="preserve"> </w:t>
      </w:r>
      <w:r w:rsidRPr="00F47BE6">
        <w:rPr>
          <w:rFonts w:cs="Arial"/>
          <w:sz w:val="20"/>
          <w:szCs w:val="20"/>
        </w:rPr>
        <w:t>In 2023, 21.9% of Coloradans in the analysis had at least one chronic condition, and about 7 in 10 of those had multiple conditions. Hypertension (11%), high cholesterol (9%), rheumatoid arthritis/osteoarthritis (6%), diabetes (5%), and depression and mood disorders (5%) were most prevalent statewide. Although prevalence remained relatively stable from 2017 to 2023, total annual spending for people with chronic conditions rose from $15 billion to $22 billion, a 44% increase. Pneumonia and heart attack were among the highest-cost conditions per person, and costs varied across urban and rural areas.</w:t>
      </w:r>
      <w:r w:rsidRPr="00F47BE6">
        <w:rPr>
          <w:rFonts w:cs="Arial"/>
          <w:sz w:val="20"/>
          <w:szCs w:val="20"/>
        </w:rPr>
        <w:br/>
      </w:r>
      <w:r w:rsidRPr="00E97CE0">
        <w:rPr>
          <w:rFonts w:cs="Arial"/>
          <w:sz w:val="20"/>
          <w:szCs w:val="20"/>
          <w:u w:val="single"/>
        </w:rPr>
        <w:t>Discussion:</w:t>
      </w:r>
      <w:r w:rsidR="00E97CE0">
        <w:rPr>
          <w:rFonts w:cs="Arial"/>
          <w:sz w:val="20"/>
          <w:szCs w:val="20"/>
        </w:rPr>
        <w:t xml:space="preserve"> </w:t>
      </w:r>
      <w:r w:rsidRPr="00F47BE6">
        <w:rPr>
          <w:rFonts w:cs="Arial"/>
          <w:sz w:val="20"/>
          <w:szCs w:val="20"/>
        </w:rPr>
        <w:t xml:space="preserve">CO APCD data reveal substantial chronic disease burden and variation in prevalence and spending across Colorado. These findings can help health agencies, health systems, and community organizations identify </w:t>
      </w:r>
      <w:r w:rsidRPr="00F47BE6">
        <w:rPr>
          <w:rFonts w:cs="Arial"/>
          <w:sz w:val="20"/>
          <w:szCs w:val="20"/>
        </w:rPr>
        <w:lastRenderedPageBreak/>
        <w:t>local needs, guide prevention and care management strategies, and target resources to improve outcomes and affordability.</w:t>
      </w:r>
    </w:p>
    <w:p w14:paraId="52E17CD6" w14:textId="77777777" w:rsidR="00E97CE0" w:rsidRDefault="00E97CE0" w:rsidP="00D36E11">
      <w:pPr>
        <w:spacing w:after="0" w:line="240" w:lineRule="auto"/>
        <w:rPr>
          <w:rFonts w:cs="Arial"/>
          <w:b/>
          <w:sz w:val="20"/>
          <w:szCs w:val="20"/>
        </w:rPr>
      </w:pPr>
    </w:p>
    <w:p w14:paraId="0551757A" w14:textId="77777777" w:rsidR="00E97CE0"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Clare Leather</w:t>
      </w:r>
    </w:p>
    <w:p w14:paraId="2C4635CA" w14:textId="77777777" w:rsidR="00E97CE0" w:rsidRDefault="00E97CE0" w:rsidP="00D36E11">
      <w:pPr>
        <w:spacing w:after="0" w:line="240" w:lineRule="auto"/>
        <w:rPr>
          <w:rFonts w:cs="Arial"/>
          <w:sz w:val="20"/>
          <w:szCs w:val="20"/>
        </w:rPr>
      </w:pPr>
    </w:p>
    <w:p w14:paraId="4BBC865D" w14:textId="157FE59A" w:rsidR="00002CD7" w:rsidRPr="00F47BE6" w:rsidRDefault="007E38C3" w:rsidP="00D36E11">
      <w:pPr>
        <w:spacing w:after="0" w:line="240" w:lineRule="auto"/>
        <w:rPr>
          <w:rFonts w:cs="Arial"/>
          <w:sz w:val="20"/>
          <w:szCs w:val="20"/>
        </w:rPr>
      </w:pPr>
      <w:r w:rsidRPr="00F47BE6">
        <w:rPr>
          <w:rFonts w:cs="Arial"/>
          <w:sz w:val="20"/>
          <w:szCs w:val="20"/>
        </w:rPr>
        <w:t>Center for Improving Value in Health Care</w:t>
      </w:r>
      <w:r w:rsidR="00E97CE0">
        <w:rPr>
          <w:rFonts w:cs="Arial"/>
          <w:sz w:val="20"/>
          <w:szCs w:val="20"/>
        </w:rPr>
        <w:t xml:space="preserve">, </w:t>
      </w:r>
      <w:r w:rsidRPr="00F47BE6">
        <w:rPr>
          <w:rFonts w:cs="Arial"/>
          <w:sz w:val="20"/>
          <w:szCs w:val="20"/>
        </w:rPr>
        <w:t>Human Services Research Institute (HSRI)</w:t>
      </w:r>
    </w:p>
    <w:p w14:paraId="1A7B83C4" w14:textId="77777777" w:rsidR="00002CD7" w:rsidRDefault="00002CD7" w:rsidP="00D36E11">
      <w:pPr>
        <w:spacing w:after="0" w:line="240" w:lineRule="auto"/>
        <w:rPr>
          <w:rFonts w:cs="Arial"/>
          <w:sz w:val="20"/>
          <w:szCs w:val="20"/>
        </w:rPr>
      </w:pPr>
    </w:p>
    <w:p w14:paraId="3590B96E" w14:textId="77777777" w:rsidR="00E97CE0" w:rsidRPr="00F47BE6" w:rsidRDefault="00E97CE0" w:rsidP="00D36E11">
      <w:pPr>
        <w:spacing w:after="0" w:line="240" w:lineRule="auto"/>
        <w:rPr>
          <w:rFonts w:cs="Arial"/>
          <w:sz w:val="20"/>
          <w:szCs w:val="20"/>
        </w:rPr>
      </w:pPr>
    </w:p>
    <w:p w14:paraId="6F6ABC7A" w14:textId="159A421D" w:rsidR="00002CD7" w:rsidRPr="00751DA1" w:rsidRDefault="00C323A7" w:rsidP="00D36E11">
      <w:pPr>
        <w:spacing w:after="0" w:line="240" w:lineRule="auto"/>
        <w:rPr>
          <w:rFonts w:cs="Arial"/>
          <w:sz w:val="20"/>
          <w:szCs w:val="20"/>
          <w:u w:val="single"/>
        </w:rPr>
      </w:pPr>
      <w:r>
        <w:rPr>
          <w:rFonts w:cs="Arial"/>
          <w:b/>
          <w:sz w:val="20"/>
          <w:szCs w:val="20"/>
          <w:u w:val="single"/>
        </w:rPr>
        <w:t xml:space="preserve">39. </w:t>
      </w:r>
      <w:r w:rsidR="007E38C3" w:rsidRPr="00751DA1">
        <w:rPr>
          <w:rFonts w:cs="Arial"/>
          <w:b/>
          <w:sz w:val="20"/>
          <w:szCs w:val="20"/>
          <w:u w:val="single"/>
        </w:rPr>
        <w:t>Examination of Postpartum and Primary Care Utilization Following Extensions to Medicaid Coverage in the Postpartum Period: A Retrospective Cohort Study</w:t>
      </w:r>
    </w:p>
    <w:p w14:paraId="485276AC" w14:textId="77777777" w:rsidR="007A7813" w:rsidRDefault="007A7813" w:rsidP="00D36E11">
      <w:pPr>
        <w:spacing w:after="0" w:line="240" w:lineRule="auto"/>
        <w:rPr>
          <w:rFonts w:cs="Arial"/>
          <w:b/>
          <w:sz w:val="20"/>
          <w:szCs w:val="20"/>
        </w:rPr>
      </w:pPr>
    </w:p>
    <w:p w14:paraId="6CCD7F51" w14:textId="344B5040"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Jena Wallander Gemkow, University of Colorado School of Medicine</w:t>
      </w:r>
    </w:p>
    <w:p w14:paraId="6AD76421" w14:textId="77777777" w:rsidR="007A7813" w:rsidRDefault="007A7813" w:rsidP="00D36E11">
      <w:pPr>
        <w:spacing w:after="0" w:line="240" w:lineRule="auto"/>
        <w:rPr>
          <w:rFonts w:cs="Arial"/>
          <w:b/>
          <w:bCs/>
          <w:sz w:val="20"/>
          <w:szCs w:val="20"/>
        </w:rPr>
      </w:pPr>
    </w:p>
    <w:p w14:paraId="229A2EF4" w14:textId="1E9F9302"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1F3598" w:rsidRPr="00751DA1">
        <w:rPr>
          <w:rFonts w:cs="Arial"/>
          <w:sz w:val="20"/>
          <w:szCs w:val="20"/>
          <w:u w:val="single"/>
        </w:rPr>
        <w:t>:</w:t>
      </w:r>
      <w:r w:rsidR="001F3598">
        <w:rPr>
          <w:rFonts w:cs="Arial"/>
          <w:sz w:val="20"/>
          <w:szCs w:val="20"/>
        </w:rPr>
        <w:t xml:space="preserve"> </w:t>
      </w:r>
      <w:r w:rsidRPr="00F47BE6">
        <w:rPr>
          <w:rFonts w:cs="Arial"/>
          <w:sz w:val="20"/>
          <w:szCs w:val="20"/>
        </w:rPr>
        <w:t>Most pregnancy-related deaths occur in the postpartum period, and adverse maternal health outcomes are commonly attributed to conditions addressed in outpatient settings. Recent state-level extensions of Medicaid coverage to 12 months postpartum have not yet been studied in a national sample. This study aimed to examine the relationship between Medicaid postpartum coverage extensions and healthcare utilization for federally qualified health center (FQHC) patients.</w:t>
      </w:r>
      <w:r w:rsidRPr="00F47BE6">
        <w:rPr>
          <w:rFonts w:cs="Arial"/>
          <w:sz w:val="20"/>
          <w:szCs w:val="20"/>
        </w:rPr>
        <w:br/>
      </w:r>
      <w:r w:rsidRPr="00751DA1">
        <w:rPr>
          <w:rFonts w:cs="Arial"/>
          <w:sz w:val="20"/>
          <w:szCs w:val="20"/>
          <w:u w:val="single"/>
        </w:rPr>
        <w:t>Methods</w:t>
      </w:r>
      <w:r w:rsidR="001F3598" w:rsidRPr="00751DA1">
        <w:rPr>
          <w:rFonts w:cs="Arial"/>
          <w:sz w:val="20"/>
          <w:szCs w:val="20"/>
          <w:u w:val="single"/>
        </w:rPr>
        <w:t>:</w:t>
      </w:r>
      <w:r w:rsidR="001F3598">
        <w:rPr>
          <w:rFonts w:cs="Arial"/>
          <w:sz w:val="20"/>
          <w:szCs w:val="20"/>
        </w:rPr>
        <w:t xml:space="preserve"> </w:t>
      </w:r>
      <w:r w:rsidRPr="00F47BE6">
        <w:rPr>
          <w:rFonts w:cs="Arial"/>
          <w:sz w:val="20"/>
          <w:szCs w:val="20"/>
        </w:rPr>
        <w:t xml:space="preserve">We conducted a quasi-experimental retrospective cohort study using electronic health record (EHR) data collected from FQHCs in five states that implemented Medicaid postpartum coverage extensions. Patients aged 15 years or older at their first prenatal visit with an estimated delivery date between 3/1/2018 –9/30/2026 and who were eligible for Medicaid coverage were included. The independent variable was implementation of continuous Medicaid coverage through 12 months postpartum. Primary outcomes were a postpartum visit (PPV) within 12 weeks postpartum and a primary care visit (PCV) between 12 weeks and 12 months postpartum. Patient-level covariates included demographics and clinical characteristics. System-level covariates included rurality and Medicaid-expansion state location. We conducted descriptive analyses comparing unadjusted differences in PPV and PCV rates between pre- and post-implementation groups and by covariates. </w:t>
      </w:r>
      <w:r w:rsidRPr="00F47BE6">
        <w:rPr>
          <w:rFonts w:cs="Arial"/>
          <w:sz w:val="20"/>
          <w:szCs w:val="20"/>
        </w:rPr>
        <w:br/>
      </w:r>
      <w:r w:rsidRPr="00751DA1">
        <w:rPr>
          <w:rFonts w:cs="Arial"/>
          <w:sz w:val="20"/>
          <w:szCs w:val="20"/>
          <w:u w:val="single"/>
        </w:rPr>
        <w:t>Results</w:t>
      </w:r>
      <w:r w:rsidR="001F3598" w:rsidRPr="00751DA1">
        <w:rPr>
          <w:rFonts w:cs="Arial"/>
          <w:sz w:val="20"/>
          <w:szCs w:val="20"/>
          <w:u w:val="single"/>
        </w:rPr>
        <w:t>:</w:t>
      </w:r>
      <w:r w:rsidR="001F3598">
        <w:rPr>
          <w:rFonts w:cs="Arial"/>
          <w:sz w:val="20"/>
          <w:szCs w:val="20"/>
        </w:rPr>
        <w:t xml:space="preserve"> </w:t>
      </w:r>
      <w:r w:rsidRPr="00F47BE6">
        <w:rPr>
          <w:rFonts w:cs="Arial"/>
          <w:sz w:val="20"/>
          <w:szCs w:val="20"/>
        </w:rPr>
        <w:t>The cohort (N = 38442) was primarily Hispanic/Latino (57%), English-speaking (68%), and publicly insured (59%). Most (51%) experienced a prenatal complication. Unadjusted analyses revealed increases from the pre- to post-implementation period in PPV rate (59.43% vs. 61.50%, p &lt; .001) and PCV rate (42.80% vs. 53.77%, p &lt; .001). PPV rates did not improve consistently by racial/ethnic groups, insurance status coverage, or expansion state status; PCV utilization improvements were more consistent.</w:t>
      </w:r>
      <w:r w:rsidRPr="00F47BE6">
        <w:rPr>
          <w:rFonts w:cs="Arial"/>
          <w:sz w:val="20"/>
          <w:szCs w:val="20"/>
        </w:rPr>
        <w:br/>
      </w:r>
      <w:r w:rsidRPr="00751DA1">
        <w:rPr>
          <w:rFonts w:cs="Arial"/>
          <w:sz w:val="20"/>
          <w:szCs w:val="20"/>
          <w:u w:val="single"/>
        </w:rPr>
        <w:t>Discussion/Conclusions</w:t>
      </w:r>
      <w:r w:rsidR="001F3598" w:rsidRPr="00751DA1">
        <w:rPr>
          <w:rFonts w:cs="Arial"/>
          <w:sz w:val="20"/>
          <w:szCs w:val="20"/>
          <w:u w:val="single"/>
        </w:rPr>
        <w:t>:</w:t>
      </w:r>
      <w:r w:rsidR="001F3598">
        <w:rPr>
          <w:rFonts w:cs="Arial"/>
          <w:sz w:val="20"/>
          <w:szCs w:val="20"/>
        </w:rPr>
        <w:t xml:space="preserve"> </w:t>
      </w:r>
      <w:r w:rsidRPr="00F47BE6">
        <w:rPr>
          <w:rFonts w:cs="Arial"/>
          <w:sz w:val="20"/>
          <w:szCs w:val="20"/>
        </w:rPr>
        <w:t>The results of this study highlight that Medicaid postpartum coverage extensions may improve health care utilization for patients in safety net settings, but these improvements are not equitable. Planned adjusted analyses will investigate these relationships further.</w:t>
      </w:r>
    </w:p>
    <w:p w14:paraId="1AAB0343" w14:textId="77777777" w:rsidR="007A7813" w:rsidRDefault="007A7813" w:rsidP="00D36E11">
      <w:pPr>
        <w:spacing w:after="0" w:line="240" w:lineRule="auto"/>
        <w:rPr>
          <w:rFonts w:cs="Arial"/>
          <w:b/>
          <w:sz w:val="20"/>
          <w:szCs w:val="20"/>
        </w:rPr>
      </w:pPr>
    </w:p>
    <w:p w14:paraId="1008091B" w14:textId="64292CDD"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Jena Wallander Gemkow, PhD-C, MPH, BSN, RN</w:t>
      </w:r>
      <w:r w:rsidR="005B7F5C">
        <w:rPr>
          <w:rFonts w:cs="Arial"/>
          <w:sz w:val="20"/>
          <w:szCs w:val="20"/>
        </w:rPr>
        <w:t xml:space="preserve"> (1,2), </w:t>
      </w:r>
      <w:r w:rsidR="007E38C3" w:rsidRPr="00F47BE6">
        <w:rPr>
          <w:rFonts w:cs="Arial"/>
          <w:sz w:val="20"/>
          <w:szCs w:val="20"/>
        </w:rPr>
        <w:t>Ta-Yun Yang, MS</w:t>
      </w:r>
      <w:r w:rsidR="005B7F5C">
        <w:rPr>
          <w:rFonts w:cs="Arial"/>
          <w:sz w:val="20"/>
          <w:szCs w:val="20"/>
        </w:rPr>
        <w:t xml:space="preserve"> (2), </w:t>
      </w:r>
      <w:r w:rsidR="007E38C3" w:rsidRPr="00F47BE6">
        <w:rPr>
          <w:rFonts w:cs="Arial"/>
          <w:sz w:val="20"/>
          <w:szCs w:val="20"/>
        </w:rPr>
        <w:t>Aylin Hasan</w:t>
      </w:r>
      <w:r w:rsidR="005B7F5C">
        <w:rPr>
          <w:rFonts w:cs="Arial"/>
          <w:sz w:val="20"/>
          <w:szCs w:val="20"/>
        </w:rPr>
        <w:t xml:space="preserve"> (2)</w:t>
      </w:r>
    </w:p>
    <w:p w14:paraId="43B967EA" w14:textId="77777777" w:rsidR="007A7813" w:rsidRDefault="007A7813" w:rsidP="00D36E11">
      <w:pPr>
        <w:spacing w:after="0" w:line="240" w:lineRule="auto"/>
        <w:rPr>
          <w:sz w:val="20"/>
          <w:szCs w:val="20"/>
        </w:rPr>
      </w:pPr>
    </w:p>
    <w:p w14:paraId="701BF4C0" w14:textId="2DA8E72D" w:rsidR="005B7F5C" w:rsidRPr="00F47BE6" w:rsidRDefault="005B7F5C" w:rsidP="00D36E11">
      <w:pPr>
        <w:spacing w:after="0" w:line="240" w:lineRule="auto"/>
        <w:rPr>
          <w:rFonts w:cs="Arial"/>
          <w:sz w:val="20"/>
          <w:szCs w:val="20"/>
        </w:rPr>
      </w:pPr>
      <w:r>
        <w:rPr>
          <w:sz w:val="20"/>
          <w:szCs w:val="20"/>
        </w:rPr>
        <w:t xml:space="preserve">(1) </w:t>
      </w:r>
      <w:r w:rsidRPr="00F47BE6">
        <w:rPr>
          <w:rFonts w:cs="Arial"/>
          <w:sz w:val="20"/>
          <w:szCs w:val="20"/>
        </w:rPr>
        <w:t>University of Colorado Anschutz College of Nursing</w:t>
      </w:r>
      <w:r w:rsidRPr="00F47BE6">
        <w:rPr>
          <w:rFonts w:cs="Arial"/>
          <w:sz w:val="20"/>
          <w:szCs w:val="20"/>
        </w:rPr>
        <w:br/>
      </w:r>
      <w:r>
        <w:rPr>
          <w:sz w:val="20"/>
          <w:szCs w:val="20"/>
        </w:rPr>
        <w:t>(2)</w:t>
      </w:r>
      <w:r w:rsidRPr="00F47BE6">
        <w:rPr>
          <w:rFonts w:cs="Arial"/>
          <w:sz w:val="20"/>
          <w:szCs w:val="20"/>
        </w:rPr>
        <w:t xml:space="preserve"> </w:t>
      </w:r>
      <w:proofErr w:type="spellStart"/>
      <w:r w:rsidRPr="00F47BE6">
        <w:rPr>
          <w:rFonts w:cs="Arial"/>
          <w:sz w:val="20"/>
          <w:szCs w:val="20"/>
        </w:rPr>
        <w:t>AllianceChicago</w:t>
      </w:r>
      <w:proofErr w:type="spellEnd"/>
    </w:p>
    <w:p w14:paraId="1F5208B5" w14:textId="77777777" w:rsidR="00002CD7" w:rsidRDefault="00002CD7" w:rsidP="00D36E11">
      <w:pPr>
        <w:spacing w:after="0" w:line="240" w:lineRule="auto"/>
        <w:rPr>
          <w:rFonts w:cs="Arial"/>
          <w:sz w:val="20"/>
          <w:szCs w:val="20"/>
        </w:rPr>
      </w:pPr>
    </w:p>
    <w:p w14:paraId="7D086D5B" w14:textId="77777777" w:rsidR="007A7813" w:rsidRPr="00F47BE6" w:rsidRDefault="007A7813" w:rsidP="00D36E11">
      <w:pPr>
        <w:spacing w:after="0" w:line="240" w:lineRule="auto"/>
        <w:rPr>
          <w:rFonts w:cs="Arial"/>
          <w:sz w:val="20"/>
          <w:szCs w:val="20"/>
        </w:rPr>
      </w:pPr>
    </w:p>
    <w:p w14:paraId="167ABE0D" w14:textId="6DDB20ED" w:rsidR="00002CD7" w:rsidRPr="00751DA1" w:rsidRDefault="00C323A7" w:rsidP="00D36E11">
      <w:pPr>
        <w:spacing w:after="0" w:line="240" w:lineRule="auto"/>
        <w:rPr>
          <w:rFonts w:cs="Arial"/>
          <w:sz w:val="20"/>
          <w:szCs w:val="20"/>
          <w:u w:val="single"/>
        </w:rPr>
      </w:pPr>
      <w:r>
        <w:rPr>
          <w:rFonts w:cs="Arial"/>
          <w:b/>
          <w:sz w:val="20"/>
          <w:szCs w:val="20"/>
          <w:u w:val="single"/>
        </w:rPr>
        <w:t xml:space="preserve">40. </w:t>
      </w:r>
      <w:r w:rsidR="007E38C3" w:rsidRPr="00751DA1">
        <w:rPr>
          <w:rFonts w:cs="Arial"/>
          <w:b/>
          <w:sz w:val="20"/>
          <w:szCs w:val="20"/>
          <w:u w:val="single"/>
        </w:rPr>
        <w:t>Firearm-Related Abuse in Intimate Partner Violence: Clinical Forensic Identification of Co-Occurring Harms and Lethality Risk</w:t>
      </w:r>
    </w:p>
    <w:p w14:paraId="495B121C" w14:textId="77777777" w:rsidR="007A7813" w:rsidRDefault="007A7813" w:rsidP="00D36E11">
      <w:pPr>
        <w:spacing w:after="0" w:line="240" w:lineRule="auto"/>
        <w:rPr>
          <w:rFonts w:cs="Arial"/>
          <w:b/>
          <w:sz w:val="20"/>
          <w:szCs w:val="20"/>
        </w:rPr>
      </w:pPr>
    </w:p>
    <w:p w14:paraId="7DD9C6DF" w14:textId="5DB379F8"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Kaitlyn Friedman, University of Colorado School of Medicine</w:t>
      </w:r>
    </w:p>
    <w:p w14:paraId="39C66ECA" w14:textId="77777777" w:rsidR="007A7813" w:rsidRDefault="007A7813" w:rsidP="00D36E11">
      <w:pPr>
        <w:spacing w:after="0" w:line="240" w:lineRule="auto"/>
        <w:rPr>
          <w:rFonts w:cs="Arial"/>
          <w:b/>
          <w:bCs/>
          <w:sz w:val="20"/>
          <w:szCs w:val="20"/>
        </w:rPr>
      </w:pPr>
    </w:p>
    <w:p w14:paraId="26AF4429" w14:textId="45D28F0B"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Firearm access by an abusive partner is associated with a five-fold increase in intimate partner homicide risk, yet firearm-related abuse is poorly characterized within routine clinical encounters. Examining how hospital-based forensic nursing services identify and document these harms is essential for strengthening screening protocols and safety planning within healthcare systems.  </w:t>
      </w:r>
      <w:r w:rsidRPr="00F47BE6">
        <w:rPr>
          <w:rFonts w:cs="Arial"/>
          <w:sz w:val="20"/>
          <w:szCs w:val="20"/>
        </w:rPr>
        <w:br/>
      </w:r>
      <w:r w:rsidRPr="00751DA1">
        <w:rPr>
          <w:rFonts w:cs="Arial"/>
          <w:sz w:val="20"/>
          <w:szCs w:val="20"/>
          <w:u w:val="single"/>
        </w:rPr>
        <w:t>Methods:</w:t>
      </w:r>
      <w:r w:rsidRPr="00F47BE6">
        <w:rPr>
          <w:rFonts w:cs="Arial"/>
          <w:sz w:val="20"/>
          <w:szCs w:val="20"/>
        </w:rPr>
        <w:t xml:space="preserve"> This study analyzed medical record data from two Colorado hospitals for patients receiving an intimate partner violence (IPV)-related medical forensic examination between 2018 and 2024. </w:t>
      </w:r>
      <w:proofErr w:type="gramStart"/>
      <w:r w:rsidRPr="00F47BE6">
        <w:rPr>
          <w:rFonts w:cs="Arial"/>
          <w:sz w:val="20"/>
          <w:szCs w:val="20"/>
        </w:rPr>
        <w:t>Firearm</w:t>
      </w:r>
      <w:proofErr w:type="gramEnd"/>
      <w:r w:rsidRPr="00F47BE6">
        <w:rPr>
          <w:rFonts w:cs="Arial"/>
          <w:sz w:val="20"/>
          <w:szCs w:val="20"/>
        </w:rPr>
        <w:t xml:space="preserve">-related abuse was identified through the Danger Assessment (DA), a validated lethality risk screening instrument administered by forensic nurse examiners (FNEs) to all patients with suspected or reported IPV. Descriptive statistics, chi-square tests, and independent sample t-tests compared patients with and without firearm-related abuse across demographic, clinical, and forensic factors. Qualitative patient histories documented by FNEs were analyzed to characterize firearm-related abuse experiences in greater detail.  </w:t>
      </w:r>
      <w:r w:rsidRPr="00F47BE6">
        <w:rPr>
          <w:rFonts w:cs="Arial"/>
          <w:sz w:val="20"/>
          <w:szCs w:val="20"/>
        </w:rPr>
        <w:br/>
      </w:r>
      <w:r w:rsidRPr="00751DA1">
        <w:rPr>
          <w:rFonts w:cs="Arial"/>
          <w:sz w:val="20"/>
          <w:szCs w:val="20"/>
          <w:u w:val="single"/>
        </w:rPr>
        <w:t>Results:</w:t>
      </w:r>
      <w:r w:rsidRPr="00F47BE6">
        <w:rPr>
          <w:rFonts w:cs="Arial"/>
          <w:sz w:val="20"/>
          <w:szCs w:val="20"/>
        </w:rPr>
        <w:t xml:space="preserve"> Among 2,222 patients experiencing IPV, fewer than 1% presented with a gunshot wound, while 15.8% (n=351) reported firearm-related abuse on the DA. Patients with firearm-related abuse were more likely to receive </w:t>
      </w:r>
      <w:r w:rsidRPr="00F47BE6">
        <w:rPr>
          <w:rFonts w:cs="Arial"/>
          <w:sz w:val="20"/>
          <w:szCs w:val="20"/>
        </w:rPr>
        <w:lastRenderedPageBreak/>
        <w:t xml:space="preserve">additional FNE exams for strangulation. traumatic brain injury, sexual assault, and/ or human trafficking (all p&lt;0.05). They also had higher mean DA scores (p&lt;0.01) and were more likely to be returning patients (p&lt;0.001). Qualitative histories showed firearms present during injury (77.8%), involved in verbal or written threats (50.4%), pointed at/placed on the patient's body (38.5%), discharged (21.4%), used to beat patients (18.8%). Further, 9.4% of perpetrators threatened firearm-related suicide.  </w:t>
      </w:r>
      <w:r w:rsidRPr="00F47BE6">
        <w:rPr>
          <w:rFonts w:cs="Arial"/>
          <w:sz w:val="20"/>
          <w:szCs w:val="20"/>
        </w:rPr>
        <w:br/>
      </w:r>
      <w:r w:rsidRPr="00751DA1">
        <w:rPr>
          <w:rFonts w:cs="Arial"/>
          <w:sz w:val="20"/>
          <w:szCs w:val="20"/>
          <w:u w:val="single"/>
        </w:rPr>
        <w:t>Conclusion:</w:t>
      </w:r>
      <w:r w:rsidRPr="00F47BE6">
        <w:rPr>
          <w:rFonts w:cs="Arial"/>
          <w:sz w:val="20"/>
          <w:szCs w:val="20"/>
        </w:rPr>
        <w:t xml:space="preserve"> Firearm-related abuse is substantially underrepresented by gunshot wound presentation alone and co-occurs with multiple lethality risk indicators. Hospital-based forensic nursing programs represent a critical health service delivery point for identifying firearm-related IPV harms that standard screening tools do not fully capture, supporting integration of firearm-specific assessment into clinical protocols and safety planning.</w:t>
      </w:r>
    </w:p>
    <w:p w14:paraId="4E3C5ECD" w14:textId="77777777" w:rsidR="007A7813" w:rsidRDefault="007A7813" w:rsidP="00D36E11">
      <w:pPr>
        <w:spacing w:after="0" w:line="240" w:lineRule="auto"/>
        <w:rPr>
          <w:rFonts w:cs="Arial"/>
          <w:b/>
          <w:sz w:val="20"/>
          <w:szCs w:val="20"/>
        </w:rPr>
      </w:pPr>
    </w:p>
    <w:p w14:paraId="2CD6A925" w14:textId="0C951467"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Kaitlyn Friedman, MSc </w:t>
      </w:r>
      <w:r w:rsidR="00712A31">
        <w:rPr>
          <w:rFonts w:cs="Arial"/>
          <w:sz w:val="20"/>
          <w:szCs w:val="20"/>
        </w:rPr>
        <w:t>(</w:t>
      </w:r>
      <w:r w:rsidR="007E38C3" w:rsidRPr="00F47BE6">
        <w:rPr>
          <w:rFonts w:cs="Arial"/>
          <w:sz w:val="20"/>
          <w:szCs w:val="20"/>
        </w:rPr>
        <w:t>1</w:t>
      </w:r>
      <w:r w:rsidR="00712A31">
        <w:rPr>
          <w:rFonts w:cs="Arial"/>
          <w:sz w:val="20"/>
          <w:szCs w:val="20"/>
        </w:rPr>
        <w:t xml:space="preserve">), </w:t>
      </w:r>
      <w:r w:rsidR="007E38C3" w:rsidRPr="00F47BE6">
        <w:rPr>
          <w:rFonts w:cs="Arial"/>
          <w:sz w:val="20"/>
          <w:szCs w:val="20"/>
        </w:rPr>
        <w:t xml:space="preserve">Julie M. Kafka, PhD, MPH </w:t>
      </w:r>
      <w:r w:rsidR="00712A31">
        <w:rPr>
          <w:rFonts w:cs="Arial"/>
          <w:sz w:val="20"/>
          <w:szCs w:val="20"/>
        </w:rPr>
        <w:t>(</w:t>
      </w:r>
      <w:r w:rsidR="007E38C3" w:rsidRPr="00F47BE6">
        <w:rPr>
          <w:rFonts w:cs="Arial"/>
          <w:sz w:val="20"/>
          <w:szCs w:val="20"/>
        </w:rPr>
        <w:t>1,2,3</w:t>
      </w:r>
      <w:r w:rsidR="00712A31">
        <w:rPr>
          <w:rFonts w:cs="Arial"/>
          <w:sz w:val="20"/>
          <w:szCs w:val="20"/>
        </w:rPr>
        <w:t xml:space="preserve">), </w:t>
      </w:r>
      <w:r w:rsidR="007E38C3" w:rsidRPr="00F47BE6">
        <w:rPr>
          <w:rFonts w:cs="Arial"/>
          <w:sz w:val="20"/>
          <w:szCs w:val="20"/>
        </w:rPr>
        <w:t xml:space="preserve">Christina Yannetsos, MD </w:t>
      </w:r>
      <w:r w:rsidR="00712A31">
        <w:rPr>
          <w:rFonts w:cs="Arial"/>
          <w:sz w:val="20"/>
          <w:szCs w:val="20"/>
        </w:rPr>
        <w:t>(</w:t>
      </w:r>
      <w:r w:rsidR="007E38C3" w:rsidRPr="00F47BE6">
        <w:rPr>
          <w:rFonts w:cs="Arial"/>
          <w:sz w:val="20"/>
          <w:szCs w:val="20"/>
        </w:rPr>
        <w:t>1,3,4</w:t>
      </w:r>
      <w:r w:rsidR="00712A31">
        <w:rPr>
          <w:rFonts w:cs="Arial"/>
          <w:sz w:val="20"/>
          <w:szCs w:val="20"/>
        </w:rPr>
        <w:t xml:space="preserve">), </w:t>
      </w:r>
      <w:r w:rsidR="007E38C3" w:rsidRPr="00F47BE6">
        <w:rPr>
          <w:rFonts w:cs="Arial"/>
          <w:sz w:val="20"/>
          <w:szCs w:val="20"/>
        </w:rPr>
        <w:t xml:space="preserve">S. Rachel Kennedy, PhD, MSN/MPH, RN </w:t>
      </w:r>
      <w:r w:rsidR="001F3598">
        <w:rPr>
          <w:rFonts w:cs="Arial"/>
          <w:sz w:val="20"/>
          <w:szCs w:val="20"/>
        </w:rPr>
        <w:t>(</w:t>
      </w:r>
      <w:r w:rsidR="007E38C3" w:rsidRPr="00F47BE6">
        <w:rPr>
          <w:rFonts w:cs="Arial"/>
          <w:sz w:val="20"/>
          <w:szCs w:val="20"/>
        </w:rPr>
        <w:t>1,2,3,4</w:t>
      </w:r>
      <w:r w:rsidR="001F3598">
        <w:rPr>
          <w:rFonts w:cs="Arial"/>
          <w:sz w:val="20"/>
          <w:szCs w:val="20"/>
        </w:rPr>
        <w:t>)</w:t>
      </w:r>
      <w:r w:rsidR="007E38C3" w:rsidRPr="00F47BE6">
        <w:rPr>
          <w:rFonts w:cs="Arial"/>
          <w:sz w:val="20"/>
          <w:szCs w:val="20"/>
        </w:rPr>
        <w:br/>
      </w:r>
      <w:r w:rsidR="007E38C3" w:rsidRPr="00F47BE6">
        <w:rPr>
          <w:rFonts w:cs="Arial"/>
          <w:sz w:val="20"/>
          <w:szCs w:val="20"/>
        </w:rPr>
        <w:br/>
      </w:r>
      <w:r w:rsidR="001F3598">
        <w:rPr>
          <w:rFonts w:cs="Arial"/>
          <w:sz w:val="20"/>
          <w:szCs w:val="20"/>
        </w:rPr>
        <w:t>(</w:t>
      </w:r>
      <w:r w:rsidR="007E38C3" w:rsidRPr="00F47BE6">
        <w:rPr>
          <w:rFonts w:cs="Arial"/>
          <w:sz w:val="20"/>
          <w:szCs w:val="20"/>
        </w:rPr>
        <w:t>1</w:t>
      </w:r>
      <w:r w:rsidR="001F3598">
        <w:rPr>
          <w:rFonts w:cs="Arial"/>
          <w:sz w:val="20"/>
          <w:szCs w:val="20"/>
        </w:rPr>
        <w:t>)</w:t>
      </w:r>
      <w:r w:rsidR="007E38C3" w:rsidRPr="00F47BE6">
        <w:rPr>
          <w:rFonts w:cs="Arial"/>
          <w:sz w:val="20"/>
          <w:szCs w:val="20"/>
        </w:rPr>
        <w:t xml:space="preserve"> University of Colorado Anschutz Injury and Violence Prevention Center  </w:t>
      </w:r>
      <w:r w:rsidR="007E38C3" w:rsidRPr="00F47BE6">
        <w:rPr>
          <w:rFonts w:cs="Arial"/>
          <w:sz w:val="20"/>
          <w:szCs w:val="20"/>
        </w:rPr>
        <w:br/>
      </w:r>
      <w:r w:rsidR="001F3598">
        <w:rPr>
          <w:rFonts w:cs="Arial"/>
          <w:sz w:val="20"/>
          <w:szCs w:val="20"/>
        </w:rPr>
        <w:t>(2)</w:t>
      </w:r>
      <w:r w:rsidR="007E38C3" w:rsidRPr="00F47BE6">
        <w:rPr>
          <w:rFonts w:cs="Arial"/>
          <w:sz w:val="20"/>
          <w:szCs w:val="20"/>
        </w:rPr>
        <w:t xml:space="preserve"> University of Colorado Anschutz Firearm Injury Prevention Initiative  </w:t>
      </w:r>
      <w:r w:rsidR="007E38C3" w:rsidRPr="00F47BE6">
        <w:rPr>
          <w:rFonts w:cs="Arial"/>
          <w:sz w:val="20"/>
          <w:szCs w:val="20"/>
        </w:rPr>
        <w:br/>
      </w:r>
      <w:r w:rsidR="001F3598">
        <w:rPr>
          <w:rFonts w:cs="Arial"/>
          <w:sz w:val="20"/>
          <w:szCs w:val="20"/>
        </w:rPr>
        <w:t>(</w:t>
      </w:r>
      <w:r w:rsidR="007E38C3" w:rsidRPr="00F47BE6">
        <w:rPr>
          <w:rFonts w:cs="Arial"/>
          <w:sz w:val="20"/>
          <w:szCs w:val="20"/>
        </w:rPr>
        <w:t>3</w:t>
      </w:r>
      <w:r w:rsidR="001F3598">
        <w:rPr>
          <w:rFonts w:cs="Arial"/>
          <w:sz w:val="20"/>
          <w:szCs w:val="20"/>
        </w:rPr>
        <w:t>)</w:t>
      </w:r>
      <w:r w:rsidR="007E38C3" w:rsidRPr="00F47BE6">
        <w:rPr>
          <w:rFonts w:cs="Arial"/>
          <w:sz w:val="20"/>
          <w:szCs w:val="20"/>
        </w:rPr>
        <w:t xml:space="preserve"> University of Colorado School of Medicine Department of Emergency Medicine </w:t>
      </w:r>
      <w:r w:rsidR="007E38C3" w:rsidRPr="00F47BE6">
        <w:rPr>
          <w:rFonts w:cs="Arial"/>
          <w:sz w:val="20"/>
          <w:szCs w:val="20"/>
        </w:rPr>
        <w:br/>
      </w:r>
      <w:r w:rsidR="001F3598">
        <w:rPr>
          <w:rFonts w:cs="Arial"/>
          <w:sz w:val="20"/>
          <w:szCs w:val="20"/>
        </w:rPr>
        <w:t>(</w:t>
      </w:r>
      <w:r w:rsidR="007E38C3" w:rsidRPr="00F47BE6">
        <w:rPr>
          <w:rFonts w:cs="Arial"/>
          <w:sz w:val="20"/>
          <w:szCs w:val="20"/>
        </w:rPr>
        <w:t>4</w:t>
      </w:r>
      <w:r w:rsidR="001F3598">
        <w:rPr>
          <w:rFonts w:cs="Arial"/>
          <w:sz w:val="20"/>
          <w:szCs w:val="20"/>
        </w:rPr>
        <w:t>)</w:t>
      </w:r>
      <w:r w:rsidR="007E38C3" w:rsidRPr="00F47BE6">
        <w:rPr>
          <w:rFonts w:cs="Arial"/>
          <w:sz w:val="20"/>
          <w:szCs w:val="20"/>
        </w:rPr>
        <w:t xml:space="preserve"> University of Colorado Health Forensic Nurse Examiner Program</w:t>
      </w:r>
    </w:p>
    <w:p w14:paraId="4223B886" w14:textId="77777777" w:rsidR="00002CD7" w:rsidRDefault="00002CD7" w:rsidP="00D36E11">
      <w:pPr>
        <w:spacing w:after="0" w:line="240" w:lineRule="auto"/>
        <w:rPr>
          <w:rFonts w:cs="Arial"/>
          <w:sz w:val="20"/>
          <w:szCs w:val="20"/>
        </w:rPr>
      </w:pPr>
    </w:p>
    <w:p w14:paraId="135EBB7C" w14:textId="77777777" w:rsidR="007A7813" w:rsidRPr="00F47BE6" w:rsidRDefault="007A7813" w:rsidP="00D36E11">
      <w:pPr>
        <w:spacing w:after="0" w:line="240" w:lineRule="auto"/>
        <w:rPr>
          <w:rFonts w:cs="Arial"/>
          <w:sz w:val="20"/>
          <w:szCs w:val="20"/>
        </w:rPr>
      </w:pPr>
    </w:p>
    <w:p w14:paraId="30830B8E" w14:textId="6033C2B9" w:rsidR="00002CD7" w:rsidRPr="00751DA1" w:rsidRDefault="00CE43EE" w:rsidP="00D36E11">
      <w:pPr>
        <w:spacing w:after="0" w:line="240" w:lineRule="auto"/>
        <w:rPr>
          <w:rFonts w:cs="Arial"/>
          <w:sz w:val="20"/>
          <w:szCs w:val="20"/>
          <w:u w:val="single"/>
        </w:rPr>
      </w:pPr>
      <w:r>
        <w:rPr>
          <w:rFonts w:cs="Arial"/>
          <w:b/>
          <w:sz w:val="20"/>
          <w:szCs w:val="20"/>
          <w:u w:val="single"/>
        </w:rPr>
        <w:t xml:space="preserve">41. </w:t>
      </w:r>
      <w:r w:rsidR="007E38C3" w:rsidRPr="00751DA1">
        <w:rPr>
          <w:rFonts w:cs="Arial"/>
          <w:b/>
          <w:sz w:val="20"/>
          <w:szCs w:val="20"/>
          <w:u w:val="single"/>
        </w:rPr>
        <w:t>Examining Momentary Determinants of Summer Weight Gain in a Racially/Ethnically Diverse Sample to Inform Clinician Anticipatory Guidance in Well-Child Visits</w:t>
      </w:r>
    </w:p>
    <w:p w14:paraId="6061BD31" w14:textId="77777777" w:rsidR="007A7813" w:rsidRDefault="007A7813" w:rsidP="00D36E11">
      <w:pPr>
        <w:spacing w:after="0" w:line="240" w:lineRule="auto"/>
        <w:rPr>
          <w:rFonts w:cs="Arial"/>
          <w:b/>
          <w:sz w:val="20"/>
          <w:szCs w:val="20"/>
        </w:rPr>
      </w:pPr>
    </w:p>
    <w:p w14:paraId="2E5F236C" w14:textId="04DE54A4"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 xml:space="preserve">Maggie Edgerley, </w:t>
      </w:r>
      <w:r w:rsidR="00E735E4" w:rsidRPr="00F47BE6">
        <w:rPr>
          <w:rFonts w:cs="Arial"/>
          <w:sz w:val="20"/>
          <w:szCs w:val="20"/>
        </w:rPr>
        <w:t>University of Colorado Anschutz</w:t>
      </w:r>
    </w:p>
    <w:p w14:paraId="4A15CB18" w14:textId="77777777" w:rsidR="007A7813" w:rsidRDefault="007A7813" w:rsidP="00D36E11">
      <w:pPr>
        <w:spacing w:after="0" w:line="240" w:lineRule="auto"/>
        <w:rPr>
          <w:rFonts w:cs="Arial"/>
          <w:b/>
          <w:bCs/>
          <w:sz w:val="20"/>
          <w:szCs w:val="20"/>
        </w:rPr>
      </w:pPr>
    </w:p>
    <w:p w14:paraId="12DEC219" w14:textId="20A3E1AF"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Childhood obesity persists as a prevalent and concerning health </w:t>
      </w:r>
      <w:proofErr w:type="gramStart"/>
      <w:r w:rsidRPr="00F47BE6">
        <w:rPr>
          <w:rFonts w:cs="Arial"/>
          <w:sz w:val="20"/>
          <w:szCs w:val="20"/>
        </w:rPr>
        <w:t>issue</w:t>
      </w:r>
      <w:proofErr w:type="gramEnd"/>
      <w:r w:rsidRPr="00F47BE6">
        <w:rPr>
          <w:rFonts w:cs="Arial"/>
          <w:sz w:val="20"/>
          <w:szCs w:val="20"/>
        </w:rPr>
        <w:t xml:space="preserve"> that </w:t>
      </w:r>
      <w:proofErr w:type="gramStart"/>
      <w:r w:rsidRPr="00F47BE6">
        <w:rPr>
          <w:rFonts w:cs="Arial"/>
          <w:sz w:val="20"/>
          <w:szCs w:val="20"/>
        </w:rPr>
        <w:t>tracks</w:t>
      </w:r>
      <w:proofErr w:type="gramEnd"/>
      <w:r w:rsidRPr="00F47BE6">
        <w:rPr>
          <w:rFonts w:cs="Arial"/>
          <w:sz w:val="20"/>
          <w:szCs w:val="20"/>
        </w:rPr>
        <w:t xml:space="preserve"> into adolescence and adulthood. Studies show a higher rate of weight gain throughout the summer compared to the school year. Current literature has not yet established why summer weight gain occurs, but hypothesized factors include changes in screen time, diet, physical activity, sleep, meal structure, and overall routines and health behavior patterns. This study aimed to identify momentary determinants of summer weight gain in children using data from a racially/ethnically diverse sample to inform clinician anticipatory guidance with parents and children.</w:t>
      </w:r>
      <w:r w:rsidRPr="00F47BE6">
        <w:rPr>
          <w:rFonts w:cs="Arial"/>
          <w:sz w:val="20"/>
          <w:szCs w:val="20"/>
        </w:rPr>
        <w:br/>
      </w:r>
      <w:r w:rsidRPr="00751DA1">
        <w:rPr>
          <w:rFonts w:cs="Arial"/>
          <w:sz w:val="20"/>
          <w:szCs w:val="20"/>
          <w:u w:val="single"/>
        </w:rPr>
        <w:t>Methods:</w:t>
      </w:r>
      <w:r w:rsidRPr="00F47BE6">
        <w:rPr>
          <w:rFonts w:cs="Arial"/>
          <w:sz w:val="20"/>
          <w:szCs w:val="20"/>
        </w:rPr>
        <w:t xml:space="preserve"> We used two waves of survey and ecological momentary assessment (EMA) data from the Family Matters Cohort study to compare behaviors on multiple days during the summer and school year. This study includes a large, racially/ethnically diverse population of child participants (n=798 for survey taken during the summer months &amp; n=1,721 for survey taken during the school months). Random and fixed effects regression models estimated the differences in outcomes by summer status, adjusting for age, sex, race/ethnicity, and household income. Outcomes included dietary quality, food insecurity, mental health, sleep, physical activity, and sedentary activity.</w:t>
      </w:r>
      <w:r w:rsidRPr="00F47BE6">
        <w:rPr>
          <w:rFonts w:cs="Arial"/>
          <w:sz w:val="20"/>
          <w:szCs w:val="20"/>
        </w:rPr>
        <w:br/>
      </w:r>
      <w:r w:rsidRPr="00751DA1">
        <w:rPr>
          <w:rFonts w:cs="Arial"/>
          <w:sz w:val="20"/>
          <w:szCs w:val="20"/>
          <w:u w:val="single"/>
        </w:rPr>
        <w:t>Results:</w:t>
      </w:r>
      <w:r w:rsidRPr="00F47BE6">
        <w:rPr>
          <w:rFonts w:cs="Arial"/>
          <w:sz w:val="20"/>
          <w:szCs w:val="20"/>
        </w:rPr>
        <w:t xml:space="preserve"> Preliminary findings suggest lower mental health, greater cell phone usage, and higher physical activity patterns during the summer, but no differences in dietary patterns.</w:t>
      </w:r>
      <w:r w:rsidRPr="00F47BE6">
        <w:rPr>
          <w:rFonts w:cs="Arial"/>
          <w:sz w:val="20"/>
          <w:szCs w:val="20"/>
        </w:rPr>
        <w:br/>
      </w:r>
      <w:r w:rsidRPr="00751DA1">
        <w:rPr>
          <w:rFonts w:cs="Arial"/>
          <w:sz w:val="20"/>
          <w:szCs w:val="20"/>
          <w:u w:val="single"/>
        </w:rPr>
        <w:t>Discussion/Conclusion:</w:t>
      </w:r>
      <w:r w:rsidRPr="00F47BE6">
        <w:rPr>
          <w:rFonts w:cs="Arial"/>
          <w:sz w:val="20"/>
          <w:szCs w:val="20"/>
        </w:rPr>
        <w:t xml:space="preserve"> These preliminary findings suggest that in a racially/ethnically diverse sample of children, summer weight gain may be driven less by reduced physical activity or declining diet quality patterns than by increases in sedentary behavior and declines in mental health. Future research is needed to confirm and investigate further. Primary care physicians may want to consider sharing anticipatory guidance with parents about reducing sedentary behaviors and engaging in mental health promoting activities with their children during summer months.</w:t>
      </w:r>
    </w:p>
    <w:p w14:paraId="176213DE" w14:textId="77777777" w:rsidR="007A7813" w:rsidRDefault="007A7813" w:rsidP="00D36E11">
      <w:pPr>
        <w:spacing w:after="0" w:line="240" w:lineRule="auto"/>
        <w:rPr>
          <w:rFonts w:cs="Arial"/>
          <w:b/>
          <w:sz w:val="20"/>
          <w:szCs w:val="20"/>
        </w:rPr>
      </w:pPr>
    </w:p>
    <w:p w14:paraId="06C90716" w14:textId="411D2D5D"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Pahwa Yang</w:t>
      </w:r>
      <w:r w:rsidR="005F1319">
        <w:rPr>
          <w:rFonts w:cs="Arial"/>
          <w:sz w:val="20"/>
          <w:szCs w:val="20"/>
        </w:rPr>
        <w:t xml:space="preserve"> (1,2), </w:t>
      </w:r>
      <w:r w:rsidR="007E38C3" w:rsidRPr="00F47BE6">
        <w:rPr>
          <w:rFonts w:cs="Arial"/>
          <w:sz w:val="20"/>
          <w:szCs w:val="20"/>
        </w:rPr>
        <w:t>Tanner Schmitz</w:t>
      </w:r>
      <w:r w:rsidR="005F1319">
        <w:rPr>
          <w:rFonts w:cs="Arial"/>
          <w:sz w:val="20"/>
          <w:szCs w:val="20"/>
        </w:rPr>
        <w:t xml:space="preserve"> (3)</w:t>
      </w:r>
      <w:r w:rsidR="007E38C3" w:rsidRPr="00F47BE6">
        <w:rPr>
          <w:rFonts w:cs="Arial"/>
          <w:sz w:val="20"/>
          <w:szCs w:val="20"/>
        </w:rPr>
        <w:t>, Maggie K. Edgerley</w:t>
      </w:r>
      <w:r w:rsidR="005F1319">
        <w:rPr>
          <w:rFonts w:cs="Arial"/>
          <w:sz w:val="20"/>
          <w:szCs w:val="20"/>
        </w:rPr>
        <w:t xml:space="preserve"> (3)</w:t>
      </w:r>
      <w:r w:rsidR="007E38C3" w:rsidRPr="00F47BE6">
        <w:rPr>
          <w:rFonts w:cs="Arial"/>
          <w:sz w:val="20"/>
          <w:szCs w:val="20"/>
        </w:rPr>
        <w:t xml:space="preserve">, Elizabeth </w:t>
      </w:r>
      <w:r w:rsidR="005F1319">
        <w:rPr>
          <w:rFonts w:cs="Arial"/>
          <w:sz w:val="20"/>
          <w:szCs w:val="20"/>
        </w:rPr>
        <w:t>Bollinger (3)</w:t>
      </w:r>
      <w:r w:rsidR="007E38C3" w:rsidRPr="00F47BE6">
        <w:rPr>
          <w:rFonts w:cs="Arial"/>
          <w:sz w:val="20"/>
          <w:szCs w:val="20"/>
        </w:rPr>
        <w:t>, Angela Fertig</w:t>
      </w:r>
      <w:r w:rsidR="005F1319">
        <w:rPr>
          <w:rFonts w:cs="Arial"/>
          <w:sz w:val="20"/>
          <w:szCs w:val="20"/>
        </w:rPr>
        <w:t xml:space="preserve"> (</w:t>
      </w:r>
      <w:r w:rsidR="00E735E4">
        <w:rPr>
          <w:rFonts w:cs="Arial"/>
          <w:sz w:val="20"/>
          <w:szCs w:val="20"/>
        </w:rPr>
        <w:t>1)</w:t>
      </w:r>
      <w:r w:rsidR="007E38C3" w:rsidRPr="00F47BE6">
        <w:rPr>
          <w:rFonts w:cs="Arial"/>
          <w:sz w:val="20"/>
          <w:szCs w:val="20"/>
        </w:rPr>
        <w:t>, Jerica M. Berge</w:t>
      </w:r>
      <w:r w:rsidR="00E735E4">
        <w:rPr>
          <w:rFonts w:cs="Arial"/>
          <w:sz w:val="20"/>
          <w:szCs w:val="20"/>
        </w:rPr>
        <w:t xml:space="preserve"> (3,4)</w:t>
      </w:r>
    </w:p>
    <w:p w14:paraId="3EA2600A" w14:textId="77777777" w:rsidR="007A7813" w:rsidRDefault="007A7813" w:rsidP="00D36E11">
      <w:pPr>
        <w:spacing w:after="0" w:line="240" w:lineRule="auto"/>
        <w:rPr>
          <w:sz w:val="20"/>
          <w:szCs w:val="20"/>
        </w:rPr>
      </w:pPr>
    </w:p>
    <w:p w14:paraId="592E4DB2" w14:textId="28A0DF47" w:rsidR="005F1319" w:rsidRDefault="005F1319" w:rsidP="00D36E11">
      <w:pPr>
        <w:spacing w:after="0" w:line="240" w:lineRule="auto"/>
        <w:rPr>
          <w:sz w:val="20"/>
          <w:szCs w:val="20"/>
        </w:rPr>
      </w:pPr>
      <w:r>
        <w:rPr>
          <w:sz w:val="20"/>
          <w:szCs w:val="20"/>
        </w:rPr>
        <w:t>(1)</w:t>
      </w:r>
      <w:r w:rsidRPr="00F47BE6">
        <w:rPr>
          <w:rFonts w:cs="Arial"/>
          <w:sz w:val="20"/>
          <w:szCs w:val="20"/>
        </w:rPr>
        <w:t xml:space="preserve"> Hubert H. Humphrey School of Public Affairs, University of Minnesota</w:t>
      </w:r>
    </w:p>
    <w:p w14:paraId="60679887" w14:textId="77777777" w:rsidR="005F1319" w:rsidRDefault="005F1319" w:rsidP="00D36E11">
      <w:pPr>
        <w:spacing w:after="0" w:line="240" w:lineRule="auto"/>
        <w:rPr>
          <w:sz w:val="20"/>
          <w:szCs w:val="20"/>
        </w:rPr>
      </w:pPr>
      <w:r>
        <w:rPr>
          <w:sz w:val="20"/>
          <w:szCs w:val="20"/>
        </w:rPr>
        <w:t>(2)</w:t>
      </w:r>
      <w:r w:rsidRPr="00F47BE6">
        <w:rPr>
          <w:rFonts w:cs="Arial"/>
          <w:sz w:val="20"/>
          <w:szCs w:val="20"/>
        </w:rPr>
        <w:t xml:space="preserve"> St. Catherine’s University</w:t>
      </w:r>
      <w:r w:rsidRPr="00F47BE6">
        <w:rPr>
          <w:rFonts w:cs="Arial"/>
          <w:sz w:val="20"/>
          <w:szCs w:val="20"/>
        </w:rPr>
        <w:br/>
      </w:r>
      <w:r>
        <w:rPr>
          <w:sz w:val="20"/>
          <w:szCs w:val="20"/>
        </w:rPr>
        <w:t xml:space="preserve">(3) </w:t>
      </w:r>
      <w:r w:rsidRPr="006B13AC">
        <w:rPr>
          <w:sz w:val="20"/>
          <w:szCs w:val="20"/>
        </w:rPr>
        <w:t>Adult and Child Center for Outcomes Research and Delivery Science</w:t>
      </w:r>
      <w:r w:rsidRPr="00F47BE6">
        <w:rPr>
          <w:sz w:val="20"/>
          <w:szCs w:val="20"/>
        </w:rPr>
        <w:t xml:space="preserve"> </w:t>
      </w:r>
      <w:r>
        <w:rPr>
          <w:sz w:val="20"/>
          <w:szCs w:val="20"/>
        </w:rPr>
        <w:t>(</w:t>
      </w:r>
      <w:r w:rsidRPr="00F47BE6">
        <w:rPr>
          <w:rFonts w:cs="Arial"/>
          <w:sz w:val="20"/>
          <w:szCs w:val="20"/>
        </w:rPr>
        <w:t>ACCORDS</w:t>
      </w:r>
      <w:r>
        <w:rPr>
          <w:sz w:val="20"/>
          <w:szCs w:val="20"/>
        </w:rPr>
        <w:t>)</w:t>
      </w:r>
      <w:r w:rsidRPr="00F47BE6">
        <w:rPr>
          <w:rFonts w:cs="Arial"/>
          <w:sz w:val="20"/>
          <w:szCs w:val="20"/>
        </w:rPr>
        <w:t>, University of Colorado Anschutz</w:t>
      </w:r>
    </w:p>
    <w:p w14:paraId="01535E58" w14:textId="77777777" w:rsidR="005F1319" w:rsidRDefault="005F1319" w:rsidP="00D36E11">
      <w:pPr>
        <w:spacing w:after="0" w:line="240" w:lineRule="auto"/>
        <w:rPr>
          <w:sz w:val="20"/>
          <w:szCs w:val="20"/>
        </w:rPr>
      </w:pPr>
      <w:r>
        <w:rPr>
          <w:sz w:val="20"/>
          <w:szCs w:val="20"/>
        </w:rPr>
        <w:t xml:space="preserve">(4) </w:t>
      </w:r>
      <w:r w:rsidRPr="00F47BE6">
        <w:rPr>
          <w:rFonts w:cs="Arial"/>
          <w:sz w:val="20"/>
          <w:szCs w:val="20"/>
        </w:rPr>
        <w:t>Department of Family Medicine, University of Colorado Anschutz</w:t>
      </w:r>
    </w:p>
    <w:p w14:paraId="69218DD6" w14:textId="77777777" w:rsidR="00002CD7" w:rsidRDefault="00002CD7" w:rsidP="00D36E11">
      <w:pPr>
        <w:spacing w:after="0" w:line="240" w:lineRule="auto"/>
        <w:rPr>
          <w:rFonts w:cs="Arial"/>
          <w:sz w:val="20"/>
          <w:szCs w:val="20"/>
        </w:rPr>
      </w:pPr>
    </w:p>
    <w:p w14:paraId="3D9B37A2" w14:textId="77777777" w:rsidR="007A7813" w:rsidRPr="00F47BE6" w:rsidRDefault="007A7813" w:rsidP="00D36E11">
      <w:pPr>
        <w:spacing w:after="0" w:line="240" w:lineRule="auto"/>
        <w:rPr>
          <w:rFonts w:cs="Arial"/>
          <w:sz w:val="20"/>
          <w:szCs w:val="20"/>
        </w:rPr>
      </w:pPr>
    </w:p>
    <w:p w14:paraId="691D75E1" w14:textId="4E62D686" w:rsidR="00002CD7" w:rsidRPr="00751DA1" w:rsidRDefault="009F0C83" w:rsidP="00D36E11">
      <w:pPr>
        <w:spacing w:after="0" w:line="240" w:lineRule="auto"/>
        <w:rPr>
          <w:rFonts w:cs="Arial"/>
          <w:sz w:val="20"/>
          <w:szCs w:val="20"/>
          <w:u w:val="single"/>
        </w:rPr>
      </w:pPr>
      <w:r>
        <w:rPr>
          <w:rFonts w:cs="Arial"/>
          <w:b/>
          <w:sz w:val="20"/>
          <w:szCs w:val="20"/>
          <w:u w:val="single"/>
        </w:rPr>
        <w:t xml:space="preserve">42. </w:t>
      </w:r>
      <w:r w:rsidR="007E38C3" w:rsidRPr="00751DA1">
        <w:rPr>
          <w:rFonts w:cs="Arial"/>
          <w:b/>
          <w:sz w:val="20"/>
          <w:szCs w:val="20"/>
          <w:u w:val="single"/>
        </w:rPr>
        <w:t>Patient Preferences for Social Needs Screening Implementation in Clinical Care</w:t>
      </w:r>
    </w:p>
    <w:p w14:paraId="24575022" w14:textId="77777777" w:rsidR="007A7813" w:rsidRDefault="007A7813" w:rsidP="00D36E11">
      <w:pPr>
        <w:spacing w:after="0" w:line="240" w:lineRule="auto"/>
        <w:rPr>
          <w:rFonts w:cs="Arial"/>
          <w:b/>
          <w:sz w:val="20"/>
          <w:szCs w:val="20"/>
        </w:rPr>
      </w:pPr>
    </w:p>
    <w:p w14:paraId="2A401D5E" w14:textId="63ADF9DC"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Tran Doan, University of Colorado School of Medicine</w:t>
      </w:r>
    </w:p>
    <w:p w14:paraId="43EA3F9C" w14:textId="77777777" w:rsidR="007A7813" w:rsidRDefault="007A7813" w:rsidP="00D36E11">
      <w:pPr>
        <w:spacing w:after="0" w:line="240" w:lineRule="auto"/>
        <w:rPr>
          <w:rFonts w:cs="Arial"/>
          <w:b/>
          <w:bCs/>
          <w:sz w:val="20"/>
          <w:szCs w:val="20"/>
        </w:rPr>
      </w:pPr>
    </w:p>
    <w:p w14:paraId="78B376D0" w14:textId="44A9DF59" w:rsidR="00002CD7" w:rsidRPr="00F47BE6" w:rsidRDefault="007E38C3" w:rsidP="00D36E11">
      <w:pPr>
        <w:spacing w:after="0" w:line="240" w:lineRule="auto"/>
        <w:rPr>
          <w:rFonts w:cs="Arial"/>
          <w:sz w:val="20"/>
          <w:szCs w:val="20"/>
        </w:rPr>
      </w:pPr>
      <w:r w:rsidRPr="00751DA1">
        <w:rPr>
          <w:rFonts w:cs="Arial"/>
          <w:sz w:val="20"/>
          <w:szCs w:val="20"/>
          <w:u w:val="single"/>
        </w:rPr>
        <w:lastRenderedPageBreak/>
        <w:t>Background:</w:t>
      </w:r>
      <w:r w:rsidRPr="00F47BE6">
        <w:rPr>
          <w:rFonts w:cs="Arial"/>
          <w:sz w:val="20"/>
          <w:szCs w:val="20"/>
        </w:rPr>
        <w:t xml:space="preserve"> Social needs screening is increasingly implemented in healthcare settings, with limited patient input. We aim to evaluate patient preferences around social needs screening in clinical settings. </w:t>
      </w:r>
      <w:r w:rsidRPr="00F47BE6">
        <w:rPr>
          <w:rFonts w:cs="Arial"/>
          <w:sz w:val="20"/>
          <w:szCs w:val="20"/>
        </w:rPr>
        <w:br/>
      </w:r>
      <w:r w:rsidRPr="00751DA1">
        <w:rPr>
          <w:rFonts w:cs="Arial"/>
          <w:sz w:val="20"/>
          <w:szCs w:val="20"/>
          <w:u w:val="single"/>
        </w:rPr>
        <w:t>Methods:</w:t>
      </w:r>
      <w:r w:rsidRPr="00F47BE6">
        <w:rPr>
          <w:rFonts w:cs="Arial"/>
          <w:sz w:val="20"/>
          <w:szCs w:val="20"/>
        </w:rPr>
        <w:t xml:space="preserve"> We used a modified Delphi consensus approach to develop attributes for a discrete choice experiment (DCE) survey. Preliminary attributes were generated through a literature review. Three expert elicitation panels were conducted with clinicians and researchers from the University of Michigan (UM) and University of Colorado (CU) from December 2025-January 2026. After each feedback round, attributes were refined, combined, eliminated, or added. Attributes and survey framing instructions will be further refined through an expert panel with the UM’s Social Care Advisory Council. Survey </w:t>
      </w:r>
      <w:proofErr w:type="gramStart"/>
      <w:r w:rsidRPr="00F47BE6">
        <w:rPr>
          <w:rFonts w:cs="Arial"/>
          <w:sz w:val="20"/>
          <w:szCs w:val="20"/>
        </w:rPr>
        <w:t>instrument</w:t>
      </w:r>
      <w:proofErr w:type="gramEnd"/>
      <w:r w:rsidRPr="00F47BE6">
        <w:rPr>
          <w:rFonts w:cs="Arial"/>
          <w:sz w:val="20"/>
          <w:szCs w:val="20"/>
        </w:rPr>
        <w:t xml:space="preserve"> will be tested through cognitive debriefing interviews with adult patients and finally, administered to ~70 adult respondents through UMHealthResearch.org. We follow the ISPOR Good Research Practices for Conjoint Analysis Task Force recommendations.</w:t>
      </w:r>
      <w:r w:rsidRPr="00F47BE6">
        <w:rPr>
          <w:rFonts w:cs="Arial"/>
          <w:sz w:val="20"/>
          <w:szCs w:val="20"/>
        </w:rPr>
        <w:br/>
      </w:r>
      <w:r w:rsidRPr="00751DA1">
        <w:rPr>
          <w:rFonts w:cs="Arial"/>
          <w:sz w:val="20"/>
          <w:szCs w:val="20"/>
          <w:u w:val="single"/>
        </w:rPr>
        <w:t>Results:</w:t>
      </w:r>
      <w:r w:rsidRPr="00F47BE6">
        <w:rPr>
          <w:rFonts w:cs="Arial"/>
          <w:sz w:val="20"/>
          <w:szCs w:val="20"/>
        </w:rPr>
        <w:t xml:space="preserve"> Following three expert panels, the attribute list was reduced from 14 to 5 attributes. In round one, UM panelists (n=4) recommended eliminating social need types, screening duration, and follow-up frequency, combining screening location, timing, and modality, and combining storage and storage duration. They suggested adding attitudinal-related questions. In round two, CU panelists (n=5) </w:t>
      </w:r>
      <w:proofErr w:type="gramStart"/>
      <w:r w:rsidRPr="00F47BE6">
        <w:rPr>
          <w:rFonts w:cs="Arial"/>
          <w:sz w:val="20"/>
          <w:szCs w:val="20"/>
        </w:rPr>
        <w:t>recommended</w:t>
      </w:r>
      <w:proofErr w:type="gramEnd"/>
      <w:r w:rsidRPr="00F47BE6">
        <w:rPr>
          <w:rFonts w:cs="Arial"/>
          <w:sz w:val="20"/>
          <w:szCs w:val="20"/>
        </w:rPr>
        <w:t xml:space="preserve"> tailoring the screening frequency </w:t>
      </w:r>
      <w:proofErr w:type="gramStart"/>
      <w:r w:rsidRPr="00F47BE6">
        <w:rPr>
          <w:rFonts w:cs="Arial"/>
          <w:sz w:val="20"/>
          <w:szCs w:val="20"/>
        </w:rPr>
        <w:t>attribute</w:t>
      </w:r>
      <w:proofErr w:type="gramEnd"/>
      <w:r w:rsidRPr="00F47BE6">
        <w:rPr>
          <w:rFonts w:cs="Arial"/>
          <w:sz w:val="20"/>
          <w:szCs w:val="20"/>
        </w:rPr>
        <w:t xml:space="preserve"> to the clinical context. They suggested applying the RE-AIM/PRISM Framework (versus CFIR), which is better suited to centering patient perspectives. In round three, CU panelists (n=7) recommended eliminating referral-related attributes, adding context-related questions, and pilot-testing in specialty-specific subsamples.</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Experts representing clinical, research, community, and patient perspectives reached consensus that incorporating patient preferences is critical to improving social needs screening implementation. Attributes describing social care screening should </w:t>
      </w:r>
      <w:proofErr w:type="gramStart"/>
      <w:r w:rsidRPr="00F47BE6">
        <w:rPr>
          <w:rFonts w:cs="Arial"/>
          <w:sz w:val="20"/>
          <w:szCs w:val="20"/>
        </w:rPr>
        <w:t>focused</w:t>
      </w:r>
      <w:proofErr w:type="gramEnd"/>
      <w:r w:rsidRPr="00F47BE6">
        <w:rPr>
          <w:rFonts w:cs="Arial"/>
          <w:sz w:val="20"/>
          <w:szCs w:val="20"/>
        </w:rPr>
        <w:t xml:space="preserve"> on screening rather than referral processes. Centering patients’ voices and preferences is essential to optimizing the screening design, acceptability, and adoption in ways that meaningfully address social care needs.</w:t>
      </w:r>
    </w:p>
    <w:p w14:paraId="1BFAE046" w14:textId="77777777" w:rsidR="007A7813" w:rsidRDefault="007A7813" w:rsidP="00D36E11">
      <w:pPr>
        <w:spacing w:after="0" w:line="240" w:lineRule="auto"/>
        <w:rPr>
          <w:rFonts w:cs="Arial"/>
          <w:b/>
          <w:sz w:val="20"/>
          <w:szCs w:val="20"/>
        </w:rPr>
      </w:pPr>
    </w:p>
    <w:p w14:paraId="7E9AE2E1" w14:textId="0C971B31" w:rsidR="00933C93"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Tran T. Doan</w:t>
      </w:r>
      <w:r w:rsidR="00933C93">
        <w:rPr>
          <w:rFonts w:cs="Arial"/>
          <w:sz w:val="20"/>
          <w:szCs w:val="20"/>
        </w:rPr>
        <w:t xml:space="preserve"> (1), </w:t>
      </w:r>
      <w:r w:rsidR="00933C93" w:rsidRPr="00F47BE6">
        <w:rPr>
          <w:rFonts w:cs="Arial"/>
          <w:sz w:val="20"/>
          <w:szCs w:val="20"/>
        </w:rPr>
        <w:t>Bradley E. Iott</w:t>
      </w:r>
      <w:r w:rsidR="00933C93">
        <w:rPr>
          <w:rFonts w:cs="Arial"/>
          <w:sz w:val="20"/>
          <w:szCs w:val="20"/>
        </w:rPr>
        <w:t xml:space="preserve"> (2)</w:t>
      </w:r>
    </w:p>
    <w:p w14:paraId="34EA70E0" w14:textId="77777777" w:rsidR="007A7813" w:rsidRDefault="007A7813" w:rsidP="00D36E11">
      <w:pPr>
        <w:spacing w:after="0" w:line="240" w:lineRule="auto"/>
        <w:rPr>
          <w:rFonts w:cs="Arial"/>
          <w:sz w:val="20"/>
          <w:szCs w:val="20"/>
        </w:rPr>
      </w:pPr>
    </w:p>
    <w:p w14:paraId="17E1F756" w14:textId="027A9D1F" w:rsidR="00002CD7" w:rsidRPr="00F47BE6" w:rsidRDefault="00933C93" w:rsidP="00D36E11">
      <w:pPr>
        <w:spacing w:after="0" w:line="240" w:lineRule="auto"/>
        <w:rPr>
          <w:rFonts w:cs="Arial"/>
          <w:sz w:val="20"/>
          <w:szCs w:val="20"/>
        </w:rPr>
      </w:pPr>
      <w:r>
        <w:rPr>
          <w:rFonts w:cs="Arial"/>
          <w:sz w:val="20"/>
          <w:szCs w:val="20"/>
        </w:rPr>
        <w:t xml:space="preserve">(1) </w:t>
      </w:r>
      <w:r w:rsidR="007E38C3" w:rsidRPr="00F47BE6">
        <w:rPr>
          <w:rFonts w:cs="Arial"/>
          <w:sz w:val="20"/>
          <w:szCs w:val="20"/>
        </w:rPr>
        <w:t>Department of Health Systems, Management, and Policy, Colorado School of Public Health, University of Colorado Anschutz Medical Campus, Aurora, CO, USA</w:t>
      </w:r>
      <w:r w:rsidR="007E38C3" w:rsidRPr="00F47BE6">
        <w:rPr>
          <w:rFonts w:cs="Arial"/>
          <w:sz w:val="20"/>
          <w:szCs w:val="20"/>
        </w:rPr>
        <w:br/>
      </w:r>
      <w:r>
        <w:rPr>
          <w:rFonts w:cs="Arial"/>
          <w:sz w:val="20"/>
          <w:szCs w:val="20"/>
        </w:rPr>
        <w:t xml:space="preserve">(2) </w:t>
      </w:r>
      <w:r w:rsidR="007E38C3" w:rsidRPr="00F47BE6">
        <w:rPr>
          <w:rFonts w:cs="Arial"/>
          <w:sz w:val="20"/>
          <w:szCs w:val="20"/>
        </w:rPr>
        <w:t>Department of Internal Medicine, University of Michigan Medical School, Ann Arbor, MI, USA</w:t>
      </w:r>
    </w:p>
    <w:p w14:paraId="52DA55C3" w14:textId="77777777" w:rsidR="00002CD7" w:rsidRDefault="00002CD7" w:rsidP="00D36E11">
      <w:pPr>
        <w:spacing w:after="0" w:line="240" w:lineRule="auto"/>
        <w:rPr>
          <w:rFonts w:cs="Arial"/>
          <w:sz w:val="20"/>
          <w:szCs w:val="20"/>
        </w:rPr>
      </w:pPr>
    </w:p>
    <w:p w14:paraId="0C967830" w14:textId="77777777" w:rsidR="007A7813" w:rsidRPr="00F47BE6" w:rsidRDefault="007A7813" w:rsidP="00D36E11">
      <w:pPr>
        <w:spacing w:after="0" w:line="240" w:lineRule="auto"/>
        <w:rPr>
          <w:rFonts w:cs="Arial"/>
          <w:sz w:val="20"/>
          <w:szCs w:val="20"/>
        </w:rPr>
      </w:pPr>
    </w:p>
    <w:p w14:paraId="2DD9B9D8" w14:textId="661095B8" w:rsidR="00002CD7" w:rsidRPr="00751DA1" w:rsidRDefault="00781C18" w:rsidP="00D36E11">
      <w:pPr>
        <w:spacing w:after="0" w:line="240" w:lineRule="auto"/>
        <w:rPr>
          <w:rFonts w:cs="Arial"/>
          <w:sz w:val="20"/>
          <w:szCs w:val="20"/>
          <w:u w:val="single"/>
        </w:rPr>
      </w:pPr>
      <w:r>
        <w:rPr>
          <w:rFonts w:cs="Arial"/>
          <w:b/>
          <w:sz w:val="20"/>
          <w:szCs w:val="20"/>
          <w:u w:val="single"/>
        </w:rPr>
        <w:t xml:space="preserve">43. </w:t>
      </w:r>
      <w:r w:rsidR="007E38C3" w:rsidRPr="00751DA1">
        <w:rPr>
          <w:rFonts w:cs="Arial"/>
          <w:b/>
          <w:sz w:val="20"/>
          <w:szCs w:val="20"/>
          <w:u w:val="single"/>
        </w:rPr>
        <w:t>Clinician-identified drivers of overuse of deep sedation for mechanically ventilated Hispanic patients</w:t>
      </w:r>
    </w:p>
    <w:p w14:paraId="3269D122" w14:textId="77777777" w:rsidR="007A7813" w:rsidRDefault="007A7813" w:rsidP="00D36E11">
      <w:pPr>
        <w:spacing w:after="0" w:line="240" w:lineRule="auto"/>
        <w:rPr>
          <w:rFonts w:cs="Arial"/>
          <w:b/>
          <w:sz w:val="20"/>
          <w:szCs w:val="20"/>
        </w:rPr>
      </w:pPr>
    </w:p>
    <w:p w14:paraId="14BB6CA3" w14:textId="35344C8F"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Lauren Chapman, University of Colorado School of Medicine</w:t>
      </w:r>
    </w:p>
    <w:p w14:paraId="3B5D89B3" w14:textId="77777777" w:rsidR="007A7813" w:rsidRDefault="007A7813" w:rsidP="00D36E11">
      <w:pPr>
        <w:spacing w:after="0" w:line="240" w:lineRule="auto"/>
        <w:rPr>
          <w:rFonts w:cs="Arial"/>
          <w:b/>
          <w:bCs/>
          <w:sz w:val="20"/>
          <w:szCs w:val="20"/>
        </w:rPr>
      </w:pPr>
    </w:p>
    <w:p w14:paraId="75436288" w14:textId="37C0F076" w:rsidR="00002CD7" w:rsidRPr="00F47BE6" w:rsidRDefault="00751DA1" w:rsidP="00D36E11">
      <w:pPr>
        <w:spacing w:after="0" w:line="240" w:lineRule="auto"/>
        <w:rPr>
          <w:rFonts w:cs="Arial"/>
          <w:sz w:val="20"/>
          <w:szCs w:val="20"/>
        </w:rPr>
      </w:pPr>
      <w:r w:rsidRPr="00803F11">
        <w:rPr>
          <w:rFonts w:cs="Arial"/>
          <w:sz w:val="20"/>
          <w:szCs w:val="20"/>
          <w:u w:val="single"/>
        </w:rPr>
        <w:t>Background:</w:t>
      </w:r>
      <w:r>
        <w:rPr>
          <w:rFonts w:cs="Arial"/>
          <w:sz w:val="20"/>
          <w:szCs w:val="20"/>
        </w:rPr>
        <w:t xml:space="preserve"> </w:t>
      </w:r>
      <w:r w:rsidR="007E38C3" w:rsidRPr="00F47BE6">
        <w:rPr>
          <w:rFonts w:cs="Arial"/>
          <w:sz w:val="20"/>
          <w:szCs w:val="20"/>
        </w:rPr>
        <w:t>Mechanically ventilated patients are often sedated for their own comfort and safety. Guidelines recommend light sedation be used whenever possible, as exposure to deep sedation is associated with negative outcomes. However, many mechanically ventilated patients continue to receive deep sedation. Previous research found that Hispanic patients are more likely to receive deep sedation than non-Hispanic patients. We asked clinicians to respond to these findings.</w:t>
      </w:r>
      <w:r w:rsidR="007E38C3" w:rsidRPr="00F47BE6">
        <w:rPr>
          <w:rFonts w:cs="Arial"/>
          <w:sz w:val="20"/>
          <w:szCs w:val="20"/>
        </w:rPr>
        <w:br/>
      </w:r>
      <w:r w:rsidR="007E38C3" w:rsidRPr="00751DA1">
        <w:rPr>
          <w:rFonts w:cs="Arial"/>
          <w:sz w:val="20"/>
          <w:szCs w:val="20"/>
          <w:u w:val="single"/>
        </w:rPr>
        <w:t>Methods:</w:t>
      </w:r>
      <w:r w:rsidR="007E38C3" w:rsidRPr="00F47BE6">
        <w:rPr>
          <w:rFonts w:cs="Arial"/>
          <w:sz w:val="20"/>
          <w:szCs w:val="20"/>
        </w:rPr>
        <w:t xml:space="preserve"> We interviewed 60 critical care clinicians, including physicians, nurses, and respiratory therapists, across 10 hospitals nationwide. We conducted four 30-minute interviews with each clinician, covering topics including sedation protocols, organizational culture, and health disparities. We qualitatively coded interview transcripts and identified patterns using thematic analysis.</w:t>
      </w:r>
      <w:r w:rsidR="007E38C3" w:rsidRPr="00F47BE6">
        <w:rPr>
          <w:rFonts w:cs="Arial"/>
          <w:sz w:val="20"/>
          <w:szCs w:val="20"/>
        </w:rPr>
        <w:br/>
      </w:r>
      <w:r w:rsidR="007E38C3" w:rsidRPr="00751DA1">
        <w:rPr>
          <w:rFonts w:cs="Arial"/>
          <w:sz w:val="20"/>
          <w:szCs w:val="20"/>
          <w:u w:val="single"/>
        </w:rPr>
        <w:t>Results:</w:t>
      </w:r>
      <w:r w:rsidR="007E38C3" w:rsidRPr="00F47BE6">
        <w:rPr>
          <w:rFonts w:cs="Arial"/>
          <w:sz w:val="20"/>
          <w:szCs w:val="20"/>
        </w:rPr>
        <w:t xml:space="preserve"> Clinicians believed language barriers could significantly impact sedation decisions, as sedation assessments often rely on a patient’s ability to respond to commands. Lack of understanding can increase patient confusion, leading clinicians to conclude deeper sedation is necessary. Second, various conditions are more prevalent within Hispanic populations, such as diabetes, obesity, and alcohol use. These conditions can affect how a patient responds to sedatives, requiring higher doses to achieve the targeted sedation goal and resulting in longer periods of deep sedation. Third, intervening socioeconomic variables like income, education, and neighborhood correlate with poorer health and increased risk of comorbidities, which correlate with more complex healthcare needs and increased exposure to deep sedation. Finally, while clinicians overwhelmingly rejected the idea of overt prejudice affecting sedation, some recognized the role that unconscious bias (e.g., assumptions about comorbidities) may play in decisions surrounding sedation depth and duration.</w:t>
      </w:r>
      <w:r w:rsidR="007E38C3" w:rsidRPr="00F47BE6">
        <w:rPr>
          <w:rFonts w:cs="Arial"/>
          <w:sz w:val="20"/>
          <w:szCs w:val="20"/>
        </w:rPr>
        <w:br/>
      </w:r>
      <w:r w:rsidR="007E38C3" w:rsidRPr="00751DA1">
        <w:rPr>
          <w:rFonts w:cs="Arial"/>
          <w:sz w:val="20"/>
          <w:szCs w:val="20"/>
          <w:u w:val="single"/>
        </w:rPr>
        <w:t>Conclusions:</w:t>
      </w:r>
      <w:r w:rsidR="007E38C3" w:rsidRPr="00F47BE6">
        <w:rPr>
          <w:rFonts w:cs="Arial"/>
          <w:sz w:val="20"/>
          <w:szCs w:val="20"/>
        </w:rPr>
        <w:t xml:space="preserve"> While the factors discussed here may affect minority and immigrant populations at large, taken together, these factors may also increase the likelihood that Hispanic patients in particular are exposed to deep sedation. Clinician education was identified as the most important step toward reducing disparities.</w:t>
      </w:r>
    </w:p>
    <w:p w14:paraId="352BE7C5" w14:textId="77777777" w:rsidR="007A7813" w:rsidRDefault="007A7813" w:rsidP="00D36E11">
      <w:pPr>
        <w:spacing w:after="0" w:line="240" w:lineRule="auto"/>
        <w:rPr>
          <w:rFonts w:cs="Arial"/>
          <w:b/>
          <w:sz w:val="20"/>
          <w:szCs w:val="20"/>
        </w:rPr>
      </w:pPr>
    </w:p>
    <w:p w14:paraId="3527F9E3" w14:textId="07327129"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Amanda Schutz</w:t>
      </w:r>
      <w:r w:rsidR="00A83530">
        <w:rPr>
          <w:rFonts w:cs="Arial"/>
          <w:sz w:val="20"/>
          <w:szCs w:val="20"/>
        </w:rPr>
        <w:t xml:space="preserve"> (1), </w:t>
      </w:r>
      <w:r w:rsidR="007E38C3" w:rsidRPr="00F47BE6">
        <w:rPr>
          <w:rFonts w:cs="Arial"/>
          <w:sz w:val="20"/>
          <w:szCs w:val="20"/>
        </w:rPr>
        <w:t>Lauren Chapman (</w:t>
      </w:r>
      <w:r w:rsidR="00A83530">
        <w:rPr>
          <w:rFonts w:cs="Arial"/>
          <w:sz w:val="20"/>
          <w:szCs w:val="20"/>
        </w:rPr>
        <w:t xml:space="preserve">1), </w:t>
      </w:r>
      <w:r w:rsidR="007E38C3" w:rsidRPr="00F47BE6">
        <w:rPr>
          <w:rFonts w:cs="Arial"/>
          <w:sz w:val="20"/>
          <w:szCs w:val="20"/>
        </w:rPr>
        <w:t>Kaitlyn Parrotte (</w:t>
      </w:r>
      <w:r w:rsidR="00A83530">
        <w:rPr>
          <w:rFonts w:cs="Arial"/>
          <w:sz w:val="20"/>
          <w:szCs w:val="20"/>
        </w:rPr>
        <w:t>2</w:t>
      </w:r>
      <w:r w:rsidR="007E38C3" w:rsidRPr="00F47BE6">
        <w:rPr>
          <w:rFonts w:cs="Arial"/>
          <w:sz w:val="20"/>
          <w:szCs w:val="20"/>
        </w:rPr>
        <w:t>)</w:t>
      </w:r>
      <w:r w:rsidR="00A83530">
        <w:rPr>
          <w:rFonts w:cs="Arial"/>
          <w:sz w:val="20"/>
          <w:szCs w:val="20"/>
        </w:rPr>
        <w:t xml:space="preserve">, </w:t>
      </w:r>
      <w:r w:rsidR="007E38C3" w:rsidRPr="00F47BE6">
        <w:rPr>
          <w:rFonts w:cs="Arial"/>
          <w:sz w:val="20"/>
          <w:szCs w:val="20"/>
        </w:rPr>
        <w:t>Blessy McWan</w:t>
      </w:r>
      <w:r w:rsidR="00A83530">
        <w:rPr>
          <w:rFonts w:cs="Arial"/>
          <w:sz w:val="20"/>
          <w:szCs w:val="20"/>
        </w:rPr>
        <w:t xml:space="preserve">, </w:t>
      </w:r>
      <w:r w:rsidR="007E38C3" w:rsidRPr="00F47BE6">
        <w:rPr>
          <w:rFonts w:cs="Arial"/>
          <w:sz w:val="20"/>
          <w:szCs w:val="20"/>
        </w:rPr>
        <w:t xml:space="preserve">Chelsea </w:t>
      </w:r>
      <w:proofErr w:type="spellStart"/>
      <w:r w:rsidR="007E38C3" w:rsidRPr="00F47BE6">
        <w:rPr>
          <w:rFonts w:cs="Arial"/>
          <w:sz w:val="20"/>
          <w:szCs w:val="20"/>
        </w:rPr>
        <w:t>Chobany</w:t>
      </w:r>
      <w:proofErr w:type="spellEnd"/>
      <w:r w:rsidR="00A83530">
        <w:rPr>
          <w:rFonts w:cs="Arial"/>
          <w:sz w:val="20"/>
          <w:szCs w:val="20"/>
        </w:rPr>
        <w:t xml:space="preserve"> (2), </w:t>
      </w:r>
      <w:r w:rsidR="007E38C3" w:rsidRPr="00F47BE6">
        <w:rPr>
          <w:rFonts w:cs="Arial"/>
          <w:sz w:val="20"/>
          <w:szCs w:val="20"/>
        </w:rPr>
        <w:t>Mari Armstrong-Hough (</w:t>
      </w:r>
      <w:r w:rsidR="00A83530">
        <w:rPr>
          <w:rFonts w:cs="Arial"/>
          <w:sz w:val="20"/>
          <w:szCs w:val="20"/>
        </w:rPr>
        <w:t>2</w:t>
      </w:r>
      <w:r w:rsidR="007E38C3" w:rsidRPr="00F47BE6">
        <w:rPr>
          <w:rFonts w:cs="Arial"/>
          <w:sz w:val="20"/>
          <w:szCs w:val="20"/>
        </w:rPr>
        <w:t>)</w:t>
      </w:r>
      <w:r w:rsidR="00A83530">
        <w:rPr>
          <w:rFonts w:cs="Arial"/>
          <w:sz w:val="20"/>
          <w:szCs w:val="20"/>
        </w:rPr>
        <w:t xml:space="preserve">, </w:t>
      </w:r>
      <w:r w:rsidR="007E38C3" w:rsidRPr="00F47BE6">
        <w:rPr>
          <w:rFonts w:cs="Arial"/>
          <w:sz w:val="20"/>
          <w:szCs w:val="20"/>
        </w:rPr>
        <w:t>Thomas Valley (</w:t>
      </w:r>
      <w:r w:rsidR="00A83530">
        <w:rPr>
          <w:rFonts w:cs="Arial"/>
          <w:sz w:val="20"/>
          <w:szCs w:val="20"/>
        </w:rPr>
        <w:t>1</w:t>
      </w:r>
      <w:r w:rsidR="007E38C3" w:rsidRPr="00F47BE6">
        <w:rPr>
          <w:rFonts w:cs="Arial"/>
          <w:sz w:val="20"/>
          <w:szCs w:val="20"/>
        </w:rPr>
        <w:t>)</w:t>
      </w:r>
    </w:p>
    <w:p w14:paraId="435103F7" w14:textId="77777777" w:rsidR="007A7813" w:rsidRDefault="007A7813" w:rsidP="00D36E11">
      <w:pPr>
        <w:spacing w:after="0" w:line="240" w:lineRule="auto"/>
        <w:rPr>
          <w:rFonts w:cs="Arial"/>
          <w:sz w:val="20"/>
          <w:szCs w:val="20"/>
        </w:rPr>
      </w:pPr>
    </w:p>
    <w:p w14:paraId="2660C6C6" w14:textId="70673B0B" w:rsidR="0022610F" w:rsidRPr="0022610F" w:rsidRDefault="0022610F" w:rsidP="00D36E11">
      <w:pPr>
        <w:spacing w:after="0" w:line="240" w:lineRule="auto"/>
        <w:rPr>
          <w:rFonts w:cs="Arial"/>
          <w:sz w:val="20"/>
          <w:szCs w:val="20"/>
        </w:rPr>
      </w:pPr>
      <w:r w:rsidRPr="0022610F">
        <w:rPr>
          <w:rFonts w:cs="Arial"/>
          <w:sz w:val="20"/>
          <w:szCs w:val="20"/>
        </w:rPr>
        <w:t>(1) University of Colorado Anschutz</w:t>
      </w:r>
    </w:p>
    <w:p w14:paraId="35107DFF" w14:textId="69B65DBD" w:rsidR="0022610F" w:rsidRPr="00F47BE6" w:rsidRDefault="0022610F" w:rsidP="00D36E11">
      <w:pPr>
        <w:spacing w:after="0" w:line="240" w:lineRule="auto"/>
        <w:rPr>
          <w:rFonts w:cs="Arial"/>
          <w:sz w:val="20"/>
          <w:szCs w:val="20"/>
        </w:rPr>
      </w:pPr>
      <w:r w:rsidRPr="0022610F">
        <w:rPr>
          <w:rFonts w:cs="Arial"/>
          <w:sz w:val="20"/>
          <w:szCs w:val="20"/>
        </w:rPr>
        <w:t>(2) New York University</w:t>
      </w:r>
    </w:p>
    <w:p w14:paraId="59AA4451" w14:textId="77777777" w:rsidR="00002CD7" w:rsidRDefault="00002CD7" w:rsidP="00D36E11">
      <w:pPr>
        <w:spacing w:after="0" w:line="240" w:lineRule="auto"/>
        <w:rPr>
          <w:rFonts w:cs="Arial"/>
          <w:sz w:val="20"/>
          <w:szCs w:val="20"/>
        </w:rPr>
      </w:pPr>
    </w:p>
    <w:p w14:paraId="49F195EF" w14:textId="77777777" w:rsidR="007A7813" w:rsidRPr="00F47BE6" w:rsidRDefault="007A7813" w:rsidP="00D36E11">
      <w:pPr>
        <w:spacing w:after="0" w:line="240" w:lineRule="auto"/>
        <w:rPr>
          <w:rFonts w:cs="Arial"/>
          <w:sz w:val="20"/>
          <w:szCs w:val="20"/>
        </w:rPr>
      </w:pPr>
    </w:p>
    <w:p w14:paraId="105AAB6A" w14:textId="1B6B8B2A" w:rsidR="00002CD7" w:rsidRPr="00751DA1" w:rsidRDefault="00930C93" w:rsidP="00D36E11">
      <w:pPr>
        <w:spacing w:after="0" w:line="240" w:lineRule="auto"/>
        <w:rPr>
          <w:rFonts w:cs="Arial"/>
          <w:sz w:val="20"/>
          <w:szCs w:val="20"/>
          <w:u w:val="single"/>
        </w:rPr>
      </w:pPr>
      <w:r>
        <w:rPr>
          <w:rFonts w:cs="Arial"/>
          <w:b/>
          <w:sz w:val="20"/>
          <w:szCs w:val="20"/>
          <w:u w:val="single"/>
        </w:rPr>
        <w:t xml:space="preserve">44. </w:t>
      </w:r>
      <w:r w:rsidR="007E38C3" w:rsidRPr="00751DA1">
        <w:rPr>
          <w:rFonts w:cs="Arial"/>
          <w:b/>
          <w:sz w:val="20"/>
          <w:szCs w:val="20"/>
          <w:u w:val="single"/>
        </w:rPr>
        <w:t>Continuous Postpartum Medicaid Eligibility and Access to Care for Mothers and Infants</w:t>
      </w:r>
    </w:p>
    <w:p w14:paraId="4B955B3C" w14:textId="77777777" w:rsidR="007A7813" w:rsidRDefault="007A7813" w:rsidP="00D36E11">
      <w:pPr>
        <w:spacing w:after="0" w:line="240" w:lineRule="auto"/>
        <w:rPr>
          <w:rFonts w:cs="Arial"/>
          <w:b/>
          <w:sz w:val="20"/>
          <w:szCs w:val="20"/>
        </w:rPr>
      </w:pPr>
    </w:p>
    <w:p w14:paraId="016EC9E5" w14:textId="1A12500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Elizabeth Boggs, University of Colorado School of Medicine</w:t>
      </w:r>
    </w:p>
    <w:p w14:paraId="33071AA7" w14:textId="77777777" w:rsidR="007A7813" w:rsidRDefault="007A7813" w:rsidP="00D36E11">
      <w:pPr>
        <w:spacing w:after="0" w:line="240" w:lineRule="auto"/>
        <w:rPr>
          <w:rFonts w:cs="Arial"/>
          <w:b/>
          <w:bCs/>
          <w:sz w:val="20"/>
          <w:szCs w:val="20"/>
        </w:rPr>
      </w:pPr>
    </w:p>
    <w:p w14:paraId="1243F524" w14:textId="4B907ACC" w:rsidR="00002CD7" w:rsidRPr="00F47BE6" w:rsidRDefault="00751DA1" w:rsidP="00D36E11">
      <w:pPr>
        <w:spacing w:after="0" w:line="240" w:lineRule="auto"/>
        <w:rPr>
          <w:rFonts w:cs="Arial"/>
          <w:sz w:val="20"/>
          <w:szCs w:val="20"/>
        </w:rPr>
      </w:pPr>
      <w:r w:rsidRPr="00803F11">
        <w:rPr>
          <w:rFonts w:cs="Arial"/>
          <w:sz w:val="20"/>
          <w:szCs w:val="20"/>
          <w:u w:val="single"/>
        </w:rPr>
        <w:t>Background:</w:t>
      </w:r>
      <w:r>
        <w:rPr>
          <w:rFonts w:cs="Arial"/>
          <w:sz w:val="20"/>
          <w:szCs w:val="20"/>
        </w:rPr>
        <w:t xml:space="preserve"> </w:t>
      </w:r>
      <w:r w:rsidR="007E38C3" w:rsidRPr="00F47BE6">
        <w:rPr>
          <w:rFonts w:cs="Arial"/>
          <w:sz w:val="20"/>
          <w:szCs w:val="20"/>
        </w:rPr>
        <w:t xml:space="preserve">Medicaid finances over 40% of births nationally, and high rates of postpartum coverage loss for mothers with Medicaid drive  poor health outcomes for mothers and infants. Though nearly all states recently adopted 12-month postpartum Medicaid extensions to promote continuity of coverage after delivery, the effects of this policy on access to care for mothers and infants </w:t>
      </w:r>
      <w:proofErr w:type="gramStart"/>
      <w:r w:rsidR="007E38C3" w:rsidRPr="00F47BE6">
        <w:rPr>
          <w:rFonts w:cs="Arial"/>
          <w:sz w:val="20"/>
          <w:szCs w:val="20"/>
        </w:rPr>
        <w:t>remains</w:t>
      </w:r>
      <w:proofErr w:type="gramEnd"/>
      <w:r w:rsidR="007E38C3" w:rsidRPr="00F47BE6">
        <w:rPr>
          <w:rFonts w:cs="Arial"/>
          <w:sz w:val="20"/>
          <w:szCs w:val="20"/>
        </w:rPr>
        <w:t xml:space="preserve"> unknown. Using the Medicaid disenrollment freeze during the COVID Public Health Emergency as a natural experiment, we evaluated how continuous postpartum Medicaid coverage affects maternal and infant healthcare utilization. </w:t>
      </w:r>
      <w:r w:rsidR="007E38C3" w:rsidRPr="00F47BE6">
        <w:rPr>
          <w:rFonts w:cs="Arial"/>
          <w:sz w:val="20"/>
          <w:szCs w:val="20"/>
        </w:rPr>
        <w:br/>
      </w:r>
      <w:r w:rsidR="007E38C3" w:rsidRPr="00751DA1">
        <w:rPr>
          <w:rFonts w:cs="Arial"/>
          <w:sz w:val="20"/>
          <w:szCs w:val="20"/>
          <w:u w:val="single"/>
        </w:rPr>
        <w:t>Methods:</w:t>
      </w:r>
      <w:r w:rsidR="007E38C3" w:rsidRPr="00F47BE6">
        <w:rPr>
          <w:rFonts w:cs="Arial"/>
          <w:sz w:val="20"/>
          <w:szCs w:val="20"/>
        </w:rPr>
        <w:t xml:space="preserve"> We identified births using 2016-2023 Colorado All-Payer Claims linked to birth certificate records. Using a difference-in-differences approach, we evaluated changes in outpatient, ED, and inpatient visits among mothers and infants. We compared Medicaid -insured births (treatment) to </w:t>
      </w:r>
      <w:proofErr w:type="gramStart"/>
      <w:r w:rsidR="007E38C3" w:rsidRPr="00F47BE6">
        <w:rPr>
          <w:rFonts w:cs="Arial"/>
          <w:sz w:val="20"/>
          <w:szCs w:val="20"/>
        </w:rPr>
        <w:t>commercially-insured</w:t>
      </w:r>
      <w:proofErr w:type="gramEnd"/>
      <w:r w:rsidR="007E38C3" w:rsidRPr="00F47BE6">
        <w:rPr>
          <w:rFonts w:cs="Arial"/>
          <w:sz w:val="20"/>
          <w:szCs w:val="20"/>
        </w:rPr>
        <w:t xml:space="preserve"> births (comparator) before and after implementation of continuous postpartum Medicaid coverage through the Public Health Emergency. Models were estimated using a linear probability model. </w:t>
      </w:r>
      <w:r w:rsidR="007E38C3" w:rsidRPr="00F47BE6">
        <w:rPr>
          <w:rFonts w:cs="Arial"/>
          <w:sz w:val="20"/>
          <w:szCs w:val="20"/>
        </w:rPr>
        <w:br/>
      </w:r>
      <w:r w:rsidR="007E38C3" w:rsidRPr="00751DA1">
        <w:rPr>
          <w:rFonts w:cs="Arial"/>
          <w:sz w:val="20"/>
          <w:szCs w:val="20"/>
          <w:u w:val="single"/>
        </w:rPr>
        <w:t>Results:</w:t>
      </w:r>
      <w:r w:rsidR="007E38C3" w:rsidRPr="00F47BE6">
        <w:rPr>
          <w:rFonts w:cs="Arial"/>
          <w:sz w:val="20"/>
          <w:szCs w:val="20"/>
        </w:rPr>
        <w:t xml:space="preserve"> All estimates reflect difference-in-differences comparisons relative to commercially insured mothers/infants. Continuous postpartum Medicaid coverage was associated with a </w:t>
      </w:r>
      <w:proofErr w:type="gramStart"/>
      <w:r w:rsidR="007E38C3" w:rsidRPr="00F47BE6">
        <w:rPr>
          <w:rFonts w:cs="Arial"/>
          <w:sz w:val="20"/>
          <w:szCs w:val="20"/>
        </w:rPr>
        <w:t>27 percentage</w:t>
      </w:r>
      <w:proofErr w:type="gramEnd"/>
      <w:r w:rsidR="007E38C3" w:rsidRPr="00F47BE6">
        <w:rPr>
          <w:rFonts w:cs="Arial"/>
          <w:sz w:val="20"/>
          <w:szCs w:val="20"/>
        </w:rPr>
        <w:t xml:space="preserve"> point (pp) </w:t>
      </w:r>
      <w:proofErr w:type="gramStart"/>
      <w:r w:rsidR="007E38C3" w:rsidRPr="00F47BE6">
        <w:rPr>
          <w:rFonts w:cs="Arial"/>
          <w:sz w:val="20"/>
          <w:szCs w:val="20"/>
        </w:rPr>
        <w:t>increase</w:t>
      </w:r>
      <w:proofErr w:type="gramEnd"/>
      <w:r w:rsidR="007E38C3" w:rsidRPr="00F47BE6">
        <w:rPr>
          <w:rFonts w:cs="Arial"/>
          <w:sz w:val="20"/>
          <w:szCs w:val="20"/>
        </w:rPr>
        <w:t xml:space="preserve"> in the probability of completing an outpatient visit for mothers (p=0.02). There was a 0.4pp drop in probability of hospitalizations (p=0.01) and a non-significant decrease in ED visits (-1.0pp, p=0.11). Maternal continuous postpartum Medicaid coverage was associated with an 11pp increase in the probability of infants adhering to recommended well child visits in the first year of life (p&lt;0.001) and a 5pp decrease in the probability of infant ED use in the postpartum year (p&lt;0.001). </w:t>
      </w:r>
      <w:r w:rsidR="007E38C3" w:rsidRPr="00F47BE6">
        <w:rPr>
          <w:rFonts w:cs="Arial"/>
          <w:sz w:val="20"/>
          <w:szCs w:val="20"/>
        </w:rPr>
        <w:br/>
      </w:r>
      <w:r w:rsidR="007E38C3" w:rsidRPr="00751DA1">
        <w:rPr>
          <w:rFonts w:cs="Arial"/>
          <w:sz w:val="20"/>
          <w:szCs w:val="20"/>
          <w:u w:val="single"/>
        </w:rPr>
        <w:t>Conclusions:</w:t>
      </w:r>
      <w:r w:rsidR="007E38C3" w:rsidRPr="00F47BE6">
        <w:rPr>
          <w:rFonts w:cs="Arial"/>
          <w:sz w:val="20"/>
          <w:szCs w:val="20"/>
        </w:rPr>
        <w:t xml:space="preserve"> Continuous postpartum Medicaid coverage significantly increased outpatient care visits while reducing acute care utilization for both mothers and infants, with stronger preventive gains among infants. These effects persisted through 2023, indicating that continuous postpartum Medicaid coverage effectively optimizes preventive care for mothers and infants beyond pandemic-related changes in utilization.</w:t>
      </w:r>
    </w:p>
    <w:p w14:paraId="738F2E5A" w14:textId="77777777" w:rsidR="007A7813" w:rsidRDefault="007A7813" w:rsidP="00D36E11">
      <w:pPr>
        <w:spacing w:after="0" w:line="240" w:lineRule="auto"/>
        <w:rPr>
          <w:rFonts w:cs="Arial"/>
          <w:b/>
          <w:sz w:val="20"/>
          <w:szCs w:val="20"/>
        </w:rPr>
      </w:pPr>
    </w:p>
    <w:p w14:paraId="54201A3A" w14:textId="60DC03EB"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Elizabeth Boggs, MD MS</w:t>
      </w:r>
      <w:r w:rsidR="00D95027">
        <w:rPr>
          <w:rFonts w:cs="Arial"/>
          <w:sz w:val="20"/>
          <w:szCs w:val="20"/>
        </w:rPr>
        <w:t xml:space="preserve"> (1), </w:t>
      </w:r>
      <w:r w:rsidR="007E38C3" w:rsidRPr="00F47BE6">
        <w:rPr>
          <w:rFonts w:cs="Arial"/>
          <w:sz w:val="20"/>
          <w:szCs w:val="20"/>
        </w:rPr>
        <w:t>Amelia Mitchell, PhD Candidate</w:t>
      </w:r>
      <w:r w:rsidR="00D95027">
        <w:rPr>
          <w:rFonts w:cs="Arial"/>
          <w:sz w:val="20"/>
          <w:szCs w:val="20"/>
        </w:rPr>
        <w:t xml:space="preserve"> (</w:t>
      </w:r>
      <w:r w:rsidR="002F66FF">
        <w:rPr>
          <w:rFonts w:cs="Arial"/>
          <w:sz w:val="20"/>
          <w:szCs w:val="20"/>
        </w:rPr>
        <w:t>2)</w:t>
      </w:r>
      <w:r w:rsidR="007E38C3" w:rsidRPr="00F47BE6">
        <w:rPr>
          <w:rFonts w:cs="Arial"/>
          <w:sz w:val="20"/>
          <w:szCs w:val="20"/>
        </w:rPr>
        <w:t>,</w:t>
      </w:r>
      <w:r w:rsidR="002F66FF">
        <w:rPr>
          <w:rFonts w:cs="Arial"/>
          <w:sz w:val="20"/>
          <w:szCs w:val="20"/>
        </w:rPr>
        <w:t xml:space="preserve"> </w:t>
      </w:r>
      <w:r w:rsidR="007E38C3" w:rsidRPr="00F47BE6">
        <w:rPr>
          <w:rFonts w:cs="Arial"/>
          <w:sz w:val="20"/>
          <w:szCs w:val="20"/>
        </w:rPr>
        <w:t>Nancy Fang, MD</w:t>
      </w:r>
      <w:r w:rsidR="002F66FF">
        <w:rPr>
          <w:rFonts w:cs="Arial"/>
          <w:sz w:val="20"/>
          <w:szCs w:val="20"/>
        </w:rPr>
        <w:t xml:space="preserve"> (1), </w:t>
      </w:r>
      <w:r w:rsidR="007E38C3" w:rsidRPr="00F47BE6">
        <w:rPr>
          <w:rFonts w:cs="Arial"/>
          <w:sz w:val="20"/>
          <w:szCs w:val="20"/>
        </w:rPr>
        <w:t>Richard Lindrooth, PhD</w:t>
      </w:r>
      <w:r w:rsidR="002F66FF">
        <w:rPr>
          <w:rFonts w:cs="Arial"/>
          <w:sz w:val="20"/>
          <w:szCs w:val="20"/>
        </w:rPr>
        <w:t xml:space="preserve"> (2)</w:t>
      </w:r>
      <w:r w:rsidR="007E38C3" w:rsidRPr="00F47BE6">
        <w:rPr>
          <w:rFonts w:cs="Arial"/>
          <w:sz w:val="20"/>
          <w:szCs w:val="20"/>
        </w:rPr>
        <w:t>, Sarah Gordon, PhD</w:t>
      </w:r>
      <w:r w:rsidR="002F66FF">
        <w:rPr>
          <w:rFonts w:cs="Arial"/>
          <w:sz w:val="20"/>
          <w:szCs w:val="20"/>
        </w:rPr>
        <w:t xml:space="preserve"> (3)</w:t>
      </w:r>
    </w:p>
    <w:p w14:paraId="62A6D90A" w14:textId="77777777" w:rsidR="007A7813" w:rsidRDefault="007A7813" w:rsidP="00D36E11">
      <w:pPr>
        <w:spacing w:after="0" w:line="240" w:lineRule="auto"/>
        <w:rPr>
          <w:sz w:val="20"/>
          <w:szCs w:val="20"/>
        </w:rPr>
      </w:pPr>
    </w:p>
    <w:p w14:paraId="13AD20FD" w14:textId="2A56E549" w:rsidR="00324E39" w:rsidRDefault="00324E39" w:rsidP="00D36E11">
      <w:pPr>
        <w:spacing w:after="0" w:line="240" w:lineRule="auto"/>
      </w:pPr>
      <w:r>
        <w:rPr>
          <w:sz w:val="20"/>
          <w:szCs w:val="20"/>
        </w:rPr>
        <w:t xml:space="preserve">(1) </w:t>
      </w:r>
      <w:r w:rsidRPr="00F47BE6">
        <w:rPr>
          <w:rFonts w:cs="Arial"/>
          <w:sz w:val="20"/>
          <w:szCs w:val="20"/>
        </w:rPr>
        <w:t>University of Colorado School of Medicine</w:t>
      </w:r>
      <w:r w:rsidRPr="00F47BE6">
        <w:rPr>
          <w:rFonts w:cs="Arial"/>
          <w:sz w:val="20"/>
          <w:szCs w:val="20"/>
        </w:rPr>
        <w:br/>
      </w:r>
      <w:r>
        <w:rPr>
          <w:sz w:val="20"/>
          <w:szCs w:val="20"/>
        </w:rPr>
        <w:t xml:space="preserve">(2) </w:t>
      </w:r>
      <w:r w:rsidRPr="00F47BE6">
        <w:rPr>
          <w:rFonts w:cs="Arial"/>
          <w:sz w:val="20"/>
          <w:szCs w:val="20"/>
        </w:rPr>
        <w:t>University of Colorado School of Public Health</w:t>
      </w:r>
      <w:r w:rsidRPr="00F47BE6">
        <w:rPr>
          <w:rFonts w:cs="Arial"/>
          <w:sz w:val="20"/>
          <w:szCs w:val="20"/>
        </w:rPr>
        <w:br/>
      </w:r>
      <w:r>
        <w:rPr>
          <w:sz w:val="20"/>
          <w:szCs w:val="20"/>
        </w:rPr>
        <w:t xml:space="preserve">(3) </w:t>
      </w:r>
      <w:r w:rsidRPr="00F47BE6">
        <w:rPr>
          <w:rFonts w:cs="Arial"/>
          <w:sz w:val="20"/>
          <w:szCs w:val="20"/>
        </w:rPr>
        <w:t>Boston University School of Public Health</w:t>
      </w:r>
    </w:p>
    <w:p w14:paraId="6E9B1898" w14:textId="77777777" w:rsidR="00002CD7" w:rsidRDefault="00002CD7" w:rsidP="00D36E11">
      <w:pPr>
        <w:spacing w:after="0" w:line="240" w:lineRule="auto"/>
        <w:rPr>
          <w:rFonts w:cs="Arial"/>
          <w:sz w:val="20"/>
          <w:szCs w:val="20"/>
        </w:rPr>
      </w:pPr>
    </w:p>
    <w:p w14:paraId="1E2D6230" w14:textId="77777777" w:rsidR="007A7813" w:rsidRPr="00F47BE6" w:rsidRDefault="007A7813" w:rsidP="00D36E11">
      <w:pPr>
        <w:spacing w:after="0" w:line="240" w:lineRule="auto"/>
        <w:rPr>
          <w:rFonts w:cs="Arial"/>
          <w:sz w:val="20"/>
          <w:szCs w:val="20"/>
        </w:rPr>
      </w:pPr>
    </w:p>
    <w:p w14:paraId="4343B480" w14:textId="19FCF11E" w:rsidR="00002CD7" w:rsidRPr="00CA0072" w:rsidRDefault="00B25015" w:rsidP="00D36E11">
      <w:pPr>
        <w:spacing w:after="0" w:line="240" w:lineRule="auto"/>
        <w:rPr>
          <w:rFonts w:cs="Arial"/>
          <w:sz w:val="20"/>
          <w:szCs w:val="20"/>
          <w:u w:val="single"/>
        </w:rPr>
      </w:pPr>
      <w:r>
        <w:rPr>
          <w:rFonts w:cs="Arial"/>
          <w:b/>
          <w:sz w:val="20"/>
          <w:szCs w:val="20"/>
          <w:u w:val="single"/>
        </w:rPr>
        <w:t xml:space="preserve">45. </w:t>
      </w:r>
      <w:r w:rsidR="007E38C3" w:rsidRPr="00CA0072">
        <w:rPr>
          <w:rFonts w:cs="Arial"/>
          <w:b/>
          <w:sz w:val="20"/>
          <w:szCs w:val="20"/>
          <w:u w:val="single"/>
        </w:rPr>
        <w:t>Clinician Perspectives of a Multidisciplinary Intraoperative Margin Assessment Protocol</w:t>
      </w:r>
    </w:p>
    <w:p w14:paraId="2294B949" w14:textId="77777777" w:rsidR="00CA0072" w:rsidRDefault="00CA0072" w:rsidP="00D36E11">
      <w:pPr>
        <w:spacing w:after="0" w:line="240" w:lineRule="auto"/>
        <w:rPr>
          <w:rFonts w:cs="Arial"/>
          <w:b/>
          <w:sz w:val="20"/>
          <w:szCs w:val="20"/>
        </w:rPr>
      </w:pPr>
    </w:p>
    <w:p w14:paraId="177067FF" w14:textId="508BE9C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Elise Tsai, University of Colorado School of Medicine</w:t>
      </w:r>
    </w:p>
    <w:p w14:paraId="70DF4E97" w14:textId="77777777" w:rsidR="00CA0072" w:rsidRDefault="00CA0072" w:rsidP="00D36E11">
      <w:pPr>
        <w:spacing w:after="0" w:line="240" w:lineRule="auto"/>
        <w:rPr>
          <w:rFonts w:cs="Arial"/>
          <w:sz w:val="20"/>
          <w:szCs w:val="20"/>
        </w:rPr>
      </w:pPr>
    </w:p>
    <w:p w14:paraId="4E525EC7" w14:textId="0DD9DEB8" w:rsidR="00002CD7" w:rsidRPr="00F47BE6" w:rsidRDefault="007E38C3" w:rsidP="00D36E11">
      <w:pPr>
        <w:spacing w:after="0" w:line="240" w:lineRule="auto"/>
        <w:rPr>
          <w:rFonts w:cs="Arial"/>
          <w:sz w:val="20"/>
          <w:szCs w:val="20"/>
        </w:rPr>
      </w:pPr>
      <w:r w:rsidRPr="00CA0072">
        <w:rPr>
          <w:rFonts w:cs="Arial"/>
          <w:sz w:val="20"/>
          <w:szCs w:val="20"/>
          <w:u w:val="single"/>
        </w:rPr>
        <w:t>Background:</w:t>
      </w:r>
      <w:r w:rsidRPr="00F47BE6">
        <w:rPr>
          <w:rFonts w:cs="Arial"/>
          <w:sz w:val="20"/>
          <w:szCs w:val="20"/>
        </w:rPr>
        <w:t xml:space="preserve"> Breast-conserving surgery (BCS) has oncologic outcomes equivalent to mastectomy, with lower post-operative morbidity and higher patient-reported satisfaction. We previously conducted a feasibility study of a multidisciplinary intraoperative margin assessment protocol as an alternative to a traditional cavity shave </w:t>
      </w:r>
      <w:proofErr w:type="gramStart"/>
      <w:r w:rsidRPr="00F47BE6">
        <w:rPr>
          <w:rFonts w:cs="Arial"/>
          <w:sz w:val="20"/>
          <w:szCs w:val="20"/>
        </w:rPr>
        <w:t>margins</w:t>
      </w:r>
      <w:proofErr w:type="gramEnd"/>
      <w:r w:rsidRPr="00F47BE6">
        <w:rPr>
          <w:rFonts w:cs="Arial"/>
          <w:sz w:val="20"/>
          <w:szCs w:val="20"/>
        </w:rPr>
        <w:t xml:space="preserve"> in BCS. To facilitate implementation, we aimed to understand facilitators and barriers among the multidisciplinary team members and explore concerns among additional team members who did not participate in the feasibility study.</w:t>
      </w:r>
      <w:r w:rsidRPr="00F47BE6">
        <w:rPr>
          <w:rFonts w:cs="Arial"/>
          <w:sz w:val="20"/>
          <w:szCs w:val="20"/>
        </w:rPr>
        <w:br/>
      </w:r>
      <w:r w:rsidRPr="00CA0072">
        <w:rPr>
          <w:rFonts w:cs="Arial"/>
          <w:sz w:val="20"/>
          <w:szCs w:val="20"/>
          <w:u w:val="single"/>
        </w:rPr>
        <w:t>Methods:</w:t>
      </w:r>
      <w:r w:rsidRPr="00F47BE6">
        <w:rPr>
          <w:rFonts w:cs="Arial"/>
          <w:sz w:val="20"/>
          <w:szCs w:val="20"/>
        </w:rPr>
        <w:t xml:space="preserve"> Breast surgery team members from surgery, radiology, pathology, and the operating room (OR) nursing staff were invited to participate in semi-structured interviews to assess perspectives on the intraoperative assessment protocol. The interviews were audio-recorded and transcribed verbatim. Rapid qualitative methodology was employed to identify common themes.</w:t>
      </w:r>
      <w:r w:rsidRPr="00F47BE6">
        <w:rPr>
          <w:rFonts w:cs="Arial"/>
          <w:sz w:val="20"/>
          <w:szCs w:val="20"/>
        </w:rPr>
        <w:br/>
      </w:r>
      <w:r w:rsidRPr="00CA0072">
        <w:rPr>
          <w:rFonts w:cs="Arial"/>
          <w:sz w:val="20"/>
          <w:szCs w:val="20"/>
          <w:u w:val="single"/>
        </w:rPr>
        <w:t>Results:</w:t>
      </w:r>
      <w:r w:rsidRPr="00F47BE6">
        <w:rPr>
          <w:rFonts w:cs="Arial"/>
          <w:sz w:val="20"/>
          <w:szCs w:val="20"/>
        </w:rPr>
        <w:t xml:space="preserve"> From May to August 2024, 13 interviews were conducted across key stakeholders, including three breast surgeons, two radiologists, five pathologists, and three operating room (OR) nurses, split between feasibility study participants (n = 6) and non-participants (n = 7). Major themes included feasibility of implementation, creation of a standardized training process, support for ongoing collaboration, and positive outcomes for the patient. Minor themes include barriers in staffing shortages and decreasing overall OR time.</w:t>
      </w:r>
      <w:r w:rsidRPr="00F47BE6">
        <w:rPr>
          <w:rFonts w:cs="Arial"/>
          <w:sz w:val="20"/>
          <w:szCs w:val="20"/>
        </w:rPr>
        <w:br/>
      </w:r>
      <w:r w:rsidRPr="00CA0072">
        <w:rPr>
          <w:rFonts w:cs="Arial"/>
          <w:sz w:val="20"/>
          <w:szCs w:val="20"/>
          <w:u w:val="single"/>
        </w:rPr>
        <w:t>Conclusions:</w:t>
      </w:r>
      <w:r w:rsidRPr="00F47BE6">
        <w:rPr>
          <w:rFonts w:cs="Arial"/>
          <w:sz w:val="20"/>
          <w:szCs w:val="20"/>
        </w:rPr>
        <w:t xml:space="preserve"> Our results demonstrate that both participants and non-participants believe widespread </w:t>
      </w:r>
      <w:r w:rsidRPr="00F47BE6">
        <w:rPr>
          <w:rFonts w:cs="Arial"/>
          <w:sz w:val="20"/>
          <w:szCs w:val="20"/>
        </w:rPr>
        <w:lastRenderedPageBreak/>
        <w:t>implementation is feasible and would be of great benefit to patients. However, non-participants emphasize the need for targeted education and interdisciplinary coordination in successful institutional adoption. Next steps involve developing training resources and evaluating how stronger education and institutional support would impact long-term utilization.</w:t>
      </w:r>
    </w:p>
    <w:p w14:paraId="6AA09C82" w14:textId="77777777" w:rsidR="00CA0072" w:rsidRDefault="00CA0072" w:rsidP="00D36E11">
      <w:pPr>
        <w:spacing w:after="0" w:line="240" w:lineRule="auto"/>
        <w:rPr>
          <w:rFonts w:cs="Arial"/>
          <w:b/>
          <w:sz w:val="20"/>
          <w:szCs w:val="20"/>
        </w:rPr>
      </w:pPr>
    </w:p>
    <w:p w14:paraId="490ADA86" w14:textId="62C24BFF"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Elise Tsai</w:t>
      </w:r>
      <w:r w:rsidR="00651164">
        <w:rPr>
          <w:rFonts w:cs="Arial"/>
          <w:sz w:val="20"/>
          <w:szCs w:val="20"/>
        </w:rPr>
        <w:t xml:space="preserve"> (1), </w:t>
      </w:r>
      <w:r w:rsidR="007E38C3" w:rsidRPr="00F47BE6">
        <w:rPr>
          <w:rFonts w:cs="Arial"/>
          <w:sz w:val="20"/>
          <w:szCs w:val="20"/>
        </w:rPr>
        <w:t>Madeline G Higgins</w:t>
      </w:r>
      <w:r w:rsidR="00651164">
        <w:rPr>
          <w:rFonts w:cs="Arial"/>
          <w:sz w:val="20"/>
          <w:szCs w:val="20"/>
        </w:rPr>
        <w:t xml:space="preserve"> (2), </w:t>
      </w:r>
      <w:r w:rsidR="007E38C3" w:rsidRPr="00F47BE6">
        <w:rPr>
          <w:rFonts w:cs="Arial"/>
          <w:sz w:val="20"/>
          <w:szCs w:val="20"/>
        </w:rPr>
        <w:t>Monica Adams</w:t>
      </w:r>
      <w:r w:rsidR="00651164">
        <w:rPr>
          <w:rFonts w:cs="Arial"/>
          <w:sz w:val="20"/>
          <w:szCs w:val="20"/>
        </w:rPr>
        <w:t xml:space="preserve"> </w:t>
      </w:r>
      <w:r w:rsidR="00EE16F3">
        <w:rPr>
          <w:rFonts w:cs="Arial"/>
          <w:sz w:val="20"/>
          <w:szCs w:val="20"/>
        </w:rPr>
        <w:t xml:space="preserve">(3), </w:t>
      </w:r>
      <w:r w:rsidR="007E38C3" w:rsidRPr="00F47BE6">
        <w:rPr>
          <w:rFonts w:cs="Arial"/>
          <w:sz w:val="20"/>
          <w:szCs w:val="20"/>
        </w:rPr>
        <w:t>Sarah E Leslie</w:t>
      </w:r>
      <w:r w:rsidR="00EE16F3">
        <w:rPr>
          <w:rFonts w:cs="Arial"/>
          <w:sz w:val="20"/>
          <w:szCs w:val="20"/>
        </w:rPr>
        <w:t xml:space="preserve"> (1), </w:t>
      </w:r>
      <w:r w:rsidR="007E38C3" w:rsidRPr="00F47BE6">
        <w:rPr>
          <w:rFonts w:cs="Arial"/>
          <w:sz w:val="20"/>
          <w:szCs w:val="20"/>
        </w:rPr>
        <w:t>Jakob A Durden</w:t>
      </w:r>
      <w:r w:rsidR="00EE16F3">
        <w:rPr>
          <w:rFonts w:cs="Arial"/>
          <w:sz w:val="20"/>
          <w:szCs w:val="20"/>
        </w:rPr>
        <w:t xml:space="preserve"> (2), </w:t>
      </w:r>
      <w:r w:rsidR="007E38C3" w:rsidRPr="00F47BE6">
        <w:rPr>
          <w:rFonts w:cs="Arial"/>
          <w:sz w:val="20"/>
          <w:szCs w:val="20"/>
        </w:rPr>
        <w:t>Lauren McLemore</w:t>
      </w:r>
      <w:r w:rsidR="00EE16F3">
        <w:rPr>
          <w:rFonts w:cs="Arial"/>
          <w:sz w:val="20"/>
          <w:szCs w:val="20"/>
        </w:rPr>
        <w:t xml:space="preserve"> (</w:t>
      </w:r>
      <w:r w:rsidR="00987594">
        <w:rPr>
          <w:rFonts w:cs="Arial"/>
          <w:sz w:val="20"/>
          <w:szCs w:val="20"/>
        </w:rPr>
        <w:t xml:space="preserve">4), </w:t>
      </w:r>
      <w:r w:rsidR="007E38C3" w:rsidRPr="00F47BE6">
        <w:rPr>
          <w:rFonts w:cs="Arial"/>
          <w:sz w:val="20"/>
          <w:szCs w:val="20"/>
        </w:rPr>
        <w:t>Dulcy Wolverton</w:t>
      </w:r>
      <w:r w:rsidR="00987594">
        <w:rPr>
          <w:rFonts w:cs="Arial"/>
          <w:sz w:val="20"/>
          <w:szCs w:val="20"/>
        </w:rPr>
        <w:t xml:space="preserve"> (5), </w:t>
      </w:r>
      <w:r w:rsidR="007E38C3" w:rsidRPr="00F47BE6">
        <w:rPr>
          <w:rFonts w:cs="Arial"/>
          <w:sz w:val="20"/>
          <w:szCs w:val="20"/>
        </w:rPr>
        <w:t>Nicole Christian</w:t>
      </w:r>
      <w:r w:rsidR="00987594">
        <w:rPr>
          <w:rFonts w:cs="Arial"/>
          <w:sz w:val="20"/>
          <w:szCs w:val="20"/>
        </w:rPr>
        <w:t xml:space="preserve"> (2), </w:t>
      </w:r>
      <w:r w:rsidR="007E38C3" w:rsidRPr="00F47BE6">
        <w:rPr>
          <w:rFonts w:cs="Arial"/>
          <w:sz w:val="20"/>
          <w:szCs w:val="20"/>
        </w:rPr>
        <w:t>Sarah Tevis</w:t>
      </w:r>
      <w:r w:rsidR="00987594">
        <w:rPr>
          <w:rFonts w:cs="Arial"/>
          <w:sz w:val="20"/>
          <w:szCs w:val="20"/>
        </w:rPr>
        <w:t xml:space="preserve"> (2)</w:t>
      </w:r>
    </w:p>
    <w:p w14:paraId="1E284053" w14:textId="77777777" w:rsidR="00935BA8" w:rsidRDefault="00935BA8" w:rsidP="00D36E11">
      <w:pPr>
        <w:spacing w:after="0" w:line="240" w:lineRule="auto"/>
        <w:rPr>
          <w:rFonts w:cs="Arial"/>
          <w:sz w:val="20"/>
          <w:szCs w:val="20"/>
        </w:rPr>
      </w:pPr>
    </w:p>
    <w:p w14:paraId="115410CF" w14:textId="77777777" w:rsidR="00935BA8" w:rsidRPr="00935BA8" w:rsidRDefault="00935BA8" w:rsidP="00D36E11">
      <w:pPr>
        <w:spacing w:after="0" w:line="240" w:lineRule="auto"/>
        <w:rPr>
          <w:rFonts w:cs="Arial"/>
          <w:sz w:val="20"/>
          <w:szCs w:val="20"/>
        </w:rPr>
      </w:pPr>
      <w:r w:rsidRPr="00935BA8">
        <w:rPr>
          <w:rFonts w:cs="Arial"/>
          <w:sz w:val="20"/>
          <w:szCs w:val="20"/>
        </w:rPr>
        <w:t>(1) Adult and Child Center for Outcomes Research and Delivery Science (ACCORDS), University of Colorado Anschutz</w:t>
      </w:r>
    </w:p>
    <w:p w14:paraId="61159C9B" w14:textId="77777777" w:rsidR="00935BA8" w:rsidRPr="00935BA8" w:rsidRDefault="00935BA8" w:rsidP="00D36E11">
      <w:pPr>
        <w:spacing w:after="0" w:line="240" w:lineRule="auto"/>
        <w:rPr>
          <w:rFonts w:cs="Arial"/>
          <w:sz w:val="20"/>
          <w:szCs w:val="20"/>
        </w:rPr>
      </w:pPr>
      <w:r w:rsidRPr="00935BA8">
        <w:rPr>
          <w:rFonts w:cs="Arial"/>
          <w:sz w:val="20"/>
          <w:szCs w:val="20"/>
        </w:rPr>
        <w:t>(2) Department of Surgery, University of Colorado Anschutz</w:t>
      </w:r>
    </w:p>
    <w:p w14:paraId="1525C41F" w14:textId="77777777" w:rsidR="00935BA8" w:rsidRPr="00935BA8" w:rsidRDefault="00935BA8" w:rsidP="00D36E11">
      <w:pPr>
        <w:spacing w:after="0" w:line="240" w:lineRule="auto"/>
        <w:rPr>
          <w:rFonts w:cs="Arial"/>
          <w:sz w:val="20"/>
          <w:szCs w:val="20"/>
        </w:rPr>
      </w:pPr>
      <w:r w:rsidRPr="00935BA8">
        <w:rPr>
          <w:rFonts w:cs="Arial"/>
          <w:sz w:val="20"/>
          <w:szCs w:val="20"/>
        </w:rPr>
        <w:t>(3) Department of Psychological, Health, and Learning Sciences, University of Houston</w:t>
      </w:r>
    </w:p>
    <w:p w14:paraId="64E19C9F" w14:textId="77777777" w:rsidR="00935BA8" w:rsidRPr="00935BA8" w:rsidRDefault="00935BA8" w:rsidP="00D36E11">
      <w:pPr>
        <w:spacing w:after="0" w:line="240" w:lineRule="auto"/>
        <w:rPr>
          <w:rFonts w:cs="Arial"/>
          <w:sz w:val="20"/>
          <w:szCs w:val="20"/>
        </w:rPr>
      </w:pPr>
      <w:r w:rsidRPr="00935BA8">
        <w:rPr>
          <w:rFonts w:cs="Arial"/>
          <w:sz w:val="20"/>
          <w:szCs w:val="20"/>
        </w:rPr>
        <w:t>(4) Department of Radiology, University of Colorado Anschutz</w:t>
      </w:r>
    </w:p>
    <w:p w14:paraId="5535D36F" w14:textId="3E4264EA" w:rsidR="00935BA8" w:rsidRPr="00F47BE6" w:rsidRDefault="00935BA8" w:rsidP="00D36E11">
      <w:pPr>
        <w:spacing w:after="0" w:line="240" w:lineRule="auto"/>
        <w:rPr>
          <w:rFonts w:cs="Arial"/>
          <w:sz w:val="20"/>
          <w:szCs w:val="20"/>
        </w:rPr>
      </w:pPr>
      <w:r w:rsidRPr="00935BA8">
        <w:rPr>
          <w:rFonts w:cs="Arial"/>
          <w:sz w:val="20"/>
          <w:szCs w:val="20"/>
        </w:rPr>
        <w:t>(5) Department of Pathology, University of Colorado Anschutz</w:t>
      </w:r>
    </w:p>
    <w:p w14:paraId="406E258A" w14:textId="04DA8BC2" w:rsidR="00002CD7" w:rsidRDefault="00002CD7" w:rsidP="00D36E11">
      <w:pPr>
        <w:spacing w:after="0" w:line="240" w:lineRule="auto"/>
        <w:rPr>
          <w:rFonts w:cs="Arial"/>
          <w:sz w:val="20"/>
          <w:szCs w:val="20"/>
        </w:rPr>
      </w:pPr>
    </w:p>
    <w:p w14:paraId="0C029D19" w14:textId="77777777" w:rsidR="00987594" w:rsidRPr="00F47BE6" w:rsidRDefault="00987594" w:rsidP="00D36E11">
      <w:pPr>
        <w:spacing w:after="0" w:line="240" w:lineRule="auto"/>
        <w:rPr>
          <w:rFonts w:cs="Arial"/>
          <w:sz w:val="20"/>
          <w:szCs w:val="20"/>
        </w:rPr>
      </w:pPr>
    </w:p>
    <w:p w14:paraId="701F8367" w14:textId="64B64DFD" w:rsidR="00002CD7" w:rsidRPr="00B166BB" w:rsidRDefault="0090339C" w:rsidP="00D36E11">
      <w:pPr>
        <w:spacing w:after="0" w:line="240" w:lineRule="auto"/>
        <w:rPr>
          <w:rFonts w:cs="Arial"/>
          <w:sz w:val="20"/>
          <w:szCs w:val="20"/>
          <w:u w:val="single"/>
        </w:rPr>
      </w:pPr>
      <w:r>
        <w:rPr>
          <w:rFonts w:cs="Arial"/>
          <w:b/>
          <w:sz w:val="20"/>
          <w:szCs w:val="20"/>
          <w:u w:val="single"/>
        </w:rPr>
        <w:t xml:space="preserve">46. </w:t>
      </w:r>
      <w:r w:rsidR="007E38C3" w:rsidRPr="00B166BB">
        <w:rPr>
          <w:rFonts w:cs="Arial"/>
          <w:b/>
          <w:sz w:val="20"/>
          <w:szCs w:val="20"/>
          <w:u w:val="single"/>
        </w:rPr>
        <w:t>Primary care practices’ choice of implementation strategy for continuous glucose monitoring for patients with diabetes: A multiple methods study within a larger hybrid type-3 effectiveness-implementation study</w:t>
      </w:r>
    </w:p>
    <w:p w14:paraId="75A4C3E3" w14:textId="77777777" w:rsidR="00B166BB" w:rsidRDefault="00B166BB" w:rsidP="00D36E11">
      <w:pPr>
        <w:spacing w:after="0" w:line="240" w:lineRule="auto"/>
        <w:rPr>
          <w:rFonts w:cs="Arial"/>
          <w:b/>
          <w:sz w:val="20"/>
          <w:szCs w:val="20"/>
        </w:rPr>
      </w:pPr>
    </w:p>
    <w:p w14:paraId="0400FEC2" w14:textId="24AF56E1"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Kimberly Wiggins, University of Colorado School of Medicine</w:t>
      </w:r>
    </w:p>
    <w:p w14:paraId="71FF4548" w14:textId="77777777" w:rsidR="00B166BB" w:rsidRDefault="00B166BB" w:rsidP="00D36E11">
      <w:pPr>
        <w:spacing w:after="0" w:line="240" w:lineRule="auto"/>
        <w:rPr>
          <w:rFonts w:cs="Arial"/>
          <w:sz w:val="20"/>
          <w:szCs w:val="20"/>
        </w:rPr>
      </w:pPr>
    </w:p>
    <w:p w14:paraId="353A012A" w14:textId="3876A1D0" w:rsidR="00002CD7" w:rsidRPr="00F47BE6" w:rsidRDefault="007E38C3" w:rsidP="00D36E11">
      <w:pPr>
        <w:spacing w:after="0" w:line="240" w:lineRule="auto"/>
        <w:rPr>
          <w:rFonts w:cs="Arial"/>
          <w:sz w:val="20"/>
          <w:szCs w:val="20"/>
        </w:rPr>
      </w:pPr>
      <w:r w:rsidRPr="00B166BB">
        <w:rPr>
          <w:rFonts w:cs="Arial"/>
          <w:sz w:val="20"/>
          <w:szCs w:val="20"/>
          <w:u w:val="single"/>
        </w:rPr>
        <w:t>Background</w:t>
      </w:r>
      <w:r w:rsidR="00B166BB" w:rsidRPr="00B166BB">
        <w:rPr>
          <w:rFonts w:cs="Arial"/>
          <w:sz w:val="20"/>
          <w:szCs w:val="20"/>
          <w:u w:val="single"/>
        </w:rPr>
        <w:t>:</w:t>
      </w:r>
      <w:r w:rsidR="00B166BB">
        <w:rPr>
          <w:rFonts w:cs="Arial"/>
          <w:sz w:val="20"/>
          <w:szCs w:val="20"/>
        </w:rPr>
        <w:t xml:space="preserve"> </w:t>
      </w:r>
      <w:r w:rsidRPr="00F47BE6">
        <w:rPr>
          <w:rFonts w:cs="Arial"/>
          <w:sz w:val="20"/>
          <w:szCs w:val="20"/>
        </w:rPr>
        <w:t>Most diabetes care occurs in primary care. Continuous glucose monitoring (CGM) is associated with clinical, behavioral, and psychosocial benefits. While CGM uptake in primary care is increasing, understanding models to support CGM use in diverse primary care practices is needed. The PREPARE 4 CGM study evaluated strategies to implement CGM in primary care. We compared characteristics among practices choosing a practice-led, self-paced CGM implementation strategy or referral to a virtual CGM implementation service that provided patients and their referring primary care practices CGM initiation and data interpretation support for at least six months.</w:t>
      </w:r>
      <w:r w:rsidRPr="00F47BE6">
        <w:rPr>
          <w:rFonts w:cs="Arial"/>
          <w:sz w:val="20"/>
          <w:szCs w:val="20"/>
        </w:rPr>
        <w:br/>
      </w:r>
      <w:r w:rsidRPr="00B166BB">
        <w:rPr>
          <w:rFonts w:cs="Arial"/>
          <w:sz w:val="20"/>
          <w:szCs w:val="20"/>
          <w:u w:val="single"/>
        </w:rPr>
        <w:t>Methods</w:t>
      </w:r>
      <w:r w:rsidR="00B166BB" w:rsidRPr="00B166BB">
        <w:rPr>
          <w:rFonts w:cs="Arial"/>
          <w:sz w:val="20"/>
          <w:szCs w:val="20"/>
          <w:u w:val="single"/>
        </w:rPr>
        <w:t>:</w:t>
      </w:r>
      <w:r w:rsidR="00B166BB">
        <w:rPr>
          <w:rFonts w:cs="Arial"/>
          <w:sz w:val="20"/>
          <w:szCs w:val="20"/>
        </w:rPr>
        <w:t xml:space="preserve"> </w:t>
      </w:r>
      <w:r w:rsidRPr="00F47BE6">
        <w:rPr>
          <w:rFonts w:cs="Arial"/>
          <w:sz w:val="20"/>
          <w:szCs w:val="20"/>
        </w:rPr>
        <w:t>Colorado PC practices interested in implementing CGM enrolled and chose to use the American Academy of Family Physicians Transformation in Practice Series (TIPS): CGM implementation modules or refer patients to a virtual CGM initiation and education service designed and staffed by a primary care multi-disciplinary team. In this multiple methods study, baseline practice characteristics were compared across study arms using chi-square and t-tests. Semi-structured interviews with practice members provided additional context to explain study arm selection.</w:t>
      </w:r>
      <w:r w:rsidRPr="00F47BE6">
        <w:rPr>
          <w:rFonts w:cs="Arial"/>
          <w:sz w:val="20"/>
          <w:szCs w:val="20"/>
        </w:rPr>
        <w:br/>
      </w:r>
      <w:r w:rsidRPr="00B166BB">
        <w:rPr>
          <w:rFonts w:cs="Arial"/>
          <w:sz w:val="20"/>
          <w:szCs w:val="20"/>
          <w:u w:val="single"/>
        </w:rPr>
        <w:t>Results</w:t>
      </w:r>
      <w:r w:rsidR="00B166BB" w:rsidRPr="00B166BB">
        <w:rPr>
          <w:rFonts w:cs="Arial"/>
          <w:sz w:val="20"/>
          <w:szCs w:val="20"/>
          <w:u w:val="single"/>
        </w:rPr>
        <w:t>:</w:t>
      </w:r>
      <w:r w:rsidR="00B166BB">
        <w:rPr>
          <w:rFonts w:cs="Arial"/>
          <w:sz w:val="20"/>
          <w:szCs w:val="20"/>
        </w:rPr>
        <w:t xml:space="preserve"> </w:t>
      </w:r>
      <w:r w:rsidRPr="00F47BE6">
        <w:rPr>
          <w:rFonts w:cs="Arial"/>
          <w:sz w:val="20"/>
          <w:szCs w:val="20"/>
        </w:rPr>
        <w:t xml:space="preserve">Of 76 practices enrolled, 46 chose self-paced implementation using TIPS modules, 16 of which (35%) had a diabetes care and education specialist (DCES) in the practice; of the 30 that chose the virtual CGM initiation service, none (0%) had a DCES, X2(1, N=62)=11.046, p &lt;.001. Aside from having a DCES, no differences in 37 other practice characteristics were seen between groups. </w:t>
      </w:r>
      <w:r w:rsidRPr="00F47BE6">
        <w:rPr>
          <w:rFonts w:cs="Arial"/>
          <w:sz w:val="20"/>
          <w:szCs w:val="20"/>
        </w:rPr>
        <w:br/>
      </w:r>
      <w:r w:rsidRPr="00B166BB">
        <w:rPr>
          <w:rFonts w:cs="Arial"/>
          <w:sz w:val="20"/>
          <w:szCs w:val="20"/>
          <w:u w:val="single"/>
        </w:rPr>
        <w:t>Discussion/Conclusions</w:t>
      </w:r>
      <w:r w:rsidR="00B166BB" w:rsidRPr="00B166BB">
        <w:rPr>
          <w:rFonts w:cs="Arial"/>
          <w:sz w:val="20"/>
          <w:szCs w:val="20"/>
          <w:u w:val="single"/>
        </w:rPr>
        <w:t>:</w:t>
      </w:r>
      <w:r w:rsidR="00B166BB">
        <w:rPr>
          <w:rFonts w:cs="Arial"/>
          <w:sz w:val="20"/>
          <w:szCs w:val="20"/>
        </w:rPr>
        <w:t xml:space="preserve"> </w:t>
      </w:r>
      <w:r w:rsidRPr="00F47BE6">
        <w:rPr>
          <w:rFonts w:cs="Arial"/>
          <w:sz w:val="20"/>
          <w:szCs w:val="20"/>
        </w:rPr>
        <w:t>Primary care practices were eager to implement CGM. All practices with a DCES chose to implement CGM on their own; of the practices without a DCES, implementation method selection was evenly split (half chose to implement on their own, half chose virCIS). DCESs may have potential as diabetes technology champions in primary care practices. Referral to the virtual CGM implementation service allowed access to a certified DCES and multidisciplinary team for practices without them. As many practices without a DCES also chose to implement CGM on their own, multiple models may be necessary to foster CGM implementation in primary care.</w:t>
      </w:r>
    </w:p>
    <w:p w14:paraId="0C9FD22B" w14:textId="77777777" w:rsidR="00B166BB" w:rsidRDefault="00B166BB" w:rsidP="00D36E11">
      <w:pPr>
        <w:spacing w:after="0" w:line="240" w:lineRule="auto"/>
        <w:rPr>
          <w:rFonts w:cs="Arial"/>
          <w:b/>
          <w:sz w:val="20"/>
          <w:szCs w:val="20"/>
        </w:rPr>
      </w:pPr>
    </w:p>
    <w:p w14:paraId="0D4B73F0" w14:textId="6158DD9A" w:rsidR="00002CD7" w:rsidRPr="00F47BE6"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Kimberly T. Wiggins, PhD, MEd, MA; Tristen L. Hall, PhD, MPH; Bonnie Jortberg, PhD, RDN, CDCES; W. Perry Dickinson, MD; L. Miriam Dickinson, PhD; Jessica A. Parascando, MPH; Douglas H. Fernald, MA; Chelsea Sobczak, MPH; Sean M. Oser, MD, MPH, CDCES; Tamara K. Oser, MD. </w:t>
      </w:r>
      <w:r w:rsidR="007E38C3" w:rsidRPr="00F47BE6">
        <w:rPr>
          <w:rFonts w:cs="Arial"/>
          <w:sz w:val="20"/>
          <w:szCs w:val="20"/>
        </w:rPr>
        <w:br/>
      </w:r>
      <w:r w:rsidR="007E38C3" w:rsidRPr="00F47BE6">
        <w:rPr>
          <w:rFonts w:cs="Arial"/>
          <w:sz w:val="20"/>
          <w:szCs w:val="20"/>
        </w:rPr>
        <w:br/>
        <w:t>Department of Family Medicine, University of Colorado Anschutz</w:t>
      </w:r>
    </w:p>
    <w:p w14:paraId="22AB8333" w14:textId="77777777" w:rsidR="00002CD7" w:rsidRDefault="00002CD7" w:rsidP="00D36E11">
      <w:pPr>
        <w:spacing w:after="0" w:line="240" w:lineRule="auto"/>
        <w:rPr>
          <w:rFonts w:cs="Arial"/>
          <w:sz w:val="20"/>
          <w:szCs w:val="20"/>
        </w:rPr>
      </w:pPr>
    </w:p>
    <w:p w14:paraId="3B0C5AE8" w14:textId="77777777" w:rsidR="00B166BB" w:rsidRPr="00F47BE6" w:rsidRDefault="00B166BB" w:rsidP="00D36E11">
      <w:pPr>
        <w:spacing w:after="0" w:line="240" w:lineRule="auto"/>
        <w:rPr>
          <w:rFonts w:cs="Arial"/>
          <w:sz w:val="20"/>
          <w:szCs w:val="20"/>
        </w:rPr>
      </w:pPr>
    </w:p>
    <w:p w14:paraId="17701058" w14:textId="1B55CFA4" w:rsidR="00002CD7" w:rsidRPr="00CA0072" w:rsidRDefault="007673A4" w:rsidP="00D36E11">
      <w:pPr>
        <w:spacing w:after="0" w:line="240" w:lineRule="auto"/>
        <w:rPr>
          <w:rFonts w:cs="Arial"/>
          <w:sz w:val="20"/>
          <w:szCs w:val="20"/>
          <w:u w:val="single"/>
        </w:rPr>
      </w:pPr>
      <w:r>
        <w:rPr>
          <w:rFonts w:cs="Arial"/>
          <w:b/>
          <w:sz w:val="20"/>
          <w:szCs w:val="20"/>
          <w:u w:val="single"/>
        </w:rPr>
        <w:t xml:space="preserve">47. </w:t>
      </w:r>
      <w:r w:rsidR="007E38C3" w:rsidRPr="00CA0072">
        <w:rPr>
          <w:rFonts w:cs="Arial"/>
          <w:b/>
          <w:sz w:val="20"/>
          <w:szCs w:val="20"/>
          <w:u w:val="single"/>
        </w:rPr>
        <w:t>Implementation Context for Rural Midwifery Integration: A Qualitative Study of Multilevel Factors Influencing Rural Maternity Care</w:t>
      </w:r>
    </w:p>
    <w:p w14:paraId="0D1B3E0A" w14:textId="77777777" w:rsidR="00CA0072" w:rsidRDefault="00CA0072" w:rsidP="00D36E11">
      <w:pPr>
        <w:spacing w:after="0" w:line="240" w:lineRule="auto"/>
        <w:rPr>
          <w:rFonts w:cs="Arial"/>
          <w:b/>
          <w:sz w:val="20"/>
          <w:szCs w:val="20"/>
        </w:rPr>
      </w:pPr>
    </w:p>
    <w:p w14:paraId="412FABE1" w14:textId="150F757F"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Brie Thumm, University of Colorado School of Medicine</w:t>
      </w:r>
    </w:p>
    <w:p w14:paraId="3553E911" w14:textId="77777777" w:rsidR="00CA0072" w:rsidRDefault="00CA0072" w:rsidP="00D36E11">
      <w:pPr>
        <w:spacing w:after="0" w:line="240" w:lineRule="auto"/>
        <w:rPr>
          <w:rFonts w:cs="Arial"/>
          <w:sz w:val="20"/>
          <w:szCs w:val="20"/>
        </w:rPr>
      </w:pPr>
    </w:p>
    <w:p w14:paraId="5CE19B25" w14:textId="350FAF79" w:rsidR="00002CD7" w:rsidRPr="00F47BE6" w:rsidRDefault="007E38C3" w:rsidP="00D36E11">
      <w:pPr>
        <w:spacing w:after="0" w:line="240" w:lineRule="auto"/>
        <w:rPr>
          <w:rFonts w:cs="Arial"/>
          <w:sz w:val="20"/>
          <w:szCs w:val="20"/>
        </w:rPr>
      </w:pPr>
      <w:r w:rsidRPr="00CA0072">
        <w:rPr>
          <w:rFonts w:cs="Arial"/>
          <w:sz w:val="20"/>
          <w:szCs w:val="20"/>
          <w:u w:val="single"/>
        </w:rPr>
        <w:lastRenderedPageBreak/>
        <w:t>Background</w:t>
      </w:r>
      <w:r w:rsidR="00CA0072" w:rsidRPr="00CA0072">
        <w:rPr>
          <w:rFonts w:cs="Arial"/>
          <w:sz w:val="20"/>
          <w:szCs w:val="20"/>
          <w:u w:val="single"/>
        </w:rPr>
        <w:t>:</w:t>
      </w:r>
      <w:r w:rsidR="00CA0072">
        <w:rPr>
          <w:rFonts w:cs="Arial"/>
          <w:sz w:val="20"/>
          <w:szCs w:val="20"/>
        </w:rPr>
        <w:t xml:space="preserve"> </w:t>
      </w:r>
      <w:r w:rsidRPr="00F47BE6">
        <w:rPr>
          <w:rFonts w:cs="Arial"/>
          <w:sz w:val="20"/>
          <w:szCs w:val="20"/>
        </w:rPr>
        <w:t>Rural communities face worsening shortages of maternity care clinicians and hospital-based obstetric services, contributing to reduced access to pregnancy and birth care. Although midwives provide comprehensive maternity care and attend a substantial proportion of rural births, many rural communities have not integrated midwifery into existing health systems. This study examined multilevel contextual factors influencing rural midwifery integration to inform implementation strategies that strengthen rural maternity care capacity.</w:t>
      </w:r>
      <w:r w:rsidRPr="00F47BE6">
        <w:rPr>
          <w:rFonts w:cs="Arial"/>
          <w:sz w:val="20"/>
          <w:szCs w:val="20"/>
        </w:rPr>
        <w:br/>
      </w:r>
      <w:r w:rsidRPr="00CA0072">
        <w:rPr>
          <w:rFonts w:cs="Arial"/>
          <w:sz w:val="20"/>
          <w:szCs w:val="20"/>
          <w:u w:val="single"/>
        </w:rPr>
        <w:t>Methods</w:t>
      </w:r>
      <w:r w:rsidR="00CA0072" w:rsidRPr="00CA0072">
        <w:rPr>
          <w:rFonts w:cs="Arial"/>
          <w:sz w:val="20"/>
          <w:szCs w:val="20"/>
          <w:u w:val="single"/>
        </w:rPr>
        <w:t>:</w:t>
      </w:r>
      <w:r w:rsidR="00CA0072">
        <w:rPr>
          <w:rFonts w:cs="Arial"/>
          <w:sz w:val="20"/>
          <w:szCs w:val="20"/>
        </w:rPr>
        <w:t xml:space="preserve"> </w:t>
      </w:r>
      <w:r w:rsidRPr="00F47BE6">
        <w:rPr>
          <w:rFonts w:cs="Arial"/>
          <w:sz w:val="20"/>
          <w:szCs w:val="20"/>
        </w:rPr>
        <w:t xml:space="preserve">We conducted semi-structured interviews with 31 stakeholders involved in rural maternity care across the United States, including community members, clinicians, educators, and health system leaders. Interviews explored barriers and facilitators to rural maternity care delivery and opportunities to improve access. Directed content analysis was conducted using the Implementation in CONtext (ICON) framework to organize findings across micro, meso, and macro implementation levels. </w:t>
      </w:r>
      <w:proofErr w:type="gramStart"/>
      <w:r w:rsidRPr="00F47BE6">
        <w:rPr>
          <w:rFonts w:cs="Arial"/>
          <w:sz w:val="20"/>
          <w:szCs w:val="20"/>
        </w:rPr>
        <w:t>Investigators independently coded transcripts,</w:t>
      </w:r>
      <w:proofErr w:type="gramEnd"/>
      <w:r w:rsidRPr="00F47BE6">
        <w:rPr>
          <w:rFonts w:cs="Arial"/>
          <w:sz w:val="20"/>
          <w:szCs w:val="20"/>
        </w:rPr>
        <w:t xml:space="preserve"> resolved discrepancies through consensus, and synthesized themes by implementation domain.</w:t>
      </w:r>
      <w:r w:rsidRPr="00F47BE6">
        <w:rPr>
          <w:rFonts w:cs="Arial"/>
          <w:sz w:val="20"/>
          <w:szCs w:val="20"/>
        </w:rPr>
        <w:br/>
      </w:r>
      <w:r w:rsidRPr="00CA0072">
        <w:rPr>
          <w:rFonts w:cs="Arial"/>
          <w:sz w:val="20"/>
          <w:szCs w:val="20"/>
          <w:u w:val="single"/>
        </w:rPr>
        <w:t>Results</w:t>
      </w:r>
      <w:r w:rsidR="00CA0072" w:rsidRPr="00CA0072">
        <w:rPr>
          <w:rFonts w:cs="Arial"/>
          <w:sz w:val="20"/>
          <w:szCs w:val="20"/>
          <w:u w:val="single"/>
        </w:rPr>
        <w:t>:</w:t>
      </w:r>
      <w:r w:rsidR="00CA0072">
        <w:rPr>
          <w:rFonts w:cs="Arial"/>
          <w:sz w:val="20"/>
          <w:szCs w:val="20"/>
        </w:rPr>
        <w:t xml:space="preserve"> </w:t>
      </w:r>
      <w:r w:rsidRPr="00F47BE6">
        <w:rPr>
          <w:rFonts w:cs="Arial"/>
          <w:sz w:val="20"/>
          <w:szCs w:val="20"/>
        </w:rPr>
        <w:t>Implementation barriers extended beyond workforce shortages. At the micro level, successful rural practice depended on maintaining a broad scope of practice, preparing clinicians for low-volume settings, and supporting long-term workforce retention. At the meso level, organizational governance, physician champions, collaborative practice relationships, and supportive physician, hospital, and health system leadership were the strongest determinants of successful midwifery integration. Participants described chronic underinvestment in rural maternity care through inadequate reimbursement, Medicaid underpayment, fee-for-service payment models, and governance decisions that prioritized financial performance over community need. Midwives contributed beyond direct clinical care by improving call coverage, reducing workload, supporting quality improvement, expanding access to primary and gynecologic care, and sustaining rural maternity services. At the macro level, fragmented coordination among hospitals, federally qualified health centers, community birth providers, and regional referral systems created inefficiencies and inconsistent access to care.</w:t>
      </w:r>
      <w:r w:rsidRPr="00F47BE6">
        <w:rPr>
          <w:rFonts w:cs="Arial"/>
          <w:sz w:val="20"/>
          <w:szCs w:val="20"/>
        </w:rPr>
        <w:br/>
      </w:r>
      <w:r w:rsidRPr="00CA0072">
        <w:rPr>
          <w:rFonts w:cs="Arial"/>
          <w:sz w:val="20"/>
          <w:szCs w:val="20"/>
          <w:u w:val="single"/>
        </w:rPr>
        <w:t>Conclusions</w:t>
      </w:r>
      <w:r w:rsidR="00CA0072">
        <w:rPr>
          <w:rFonts w:cs="Arial"/>
          <w:sz w:val="20"/>
          <w:szCs w:val="20"/>
        </w:rPr>
        <w:t xml:space="preserve">: </w:t>
      </w:r>
      <w:r w:rsidRPr="00F47BE6">
        <w:rPr>
          <w:rFonts w:cs="Arial"/>
          <w:sz w:val="20"/>
          <w:szCs w:val="20"/>
        </w:rPr>
        <w:t>Rural midwifery integration is an implementation challenge rather than solely a workforce issue. Sustainable rural maternity care requires organizational and policy strategies that address chronic underinvestment, strengthen collaborative governance, support broad-scope multidisciplinary practice, and improve regional coordination across rural health systems. Because midwifery integration offers a scalable strategy to strengthen rural maternity care delivery, developing implementation strategies to overcome implementation barriers is essential.</w:t>
      </w:r>
    </w:p>
    <w:p w14:paraId="5B1E31B5" w14:textId="77777777" w:rsidR="00CA0072" w:rsidRDefault="00CA0072" w:rsidP="00D36E11">
      <w:pPr>
        <w:spacing w:after="0" w:line="240" w:lineRule="auto"/>
        <w:rPr>
          <w:rFonts w:cs="Arial"/>
          <w:b/>
          <w:sz w:val="20"/>
          <w:szCs w:val="20"/>
        </w:rPr>
      </w:pPr>
    </w:p>
    <w:p w14:paraId="4AB47013" w14:textId="208180B3" w:rsidR="00CA0072"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Denise Smith,</w:t>
      </w:r>
      <w:r w:rsidR="00CA0072">
        <w:rPr>
          <w:rFonts w:cs="Arial"/>
          <w:sz w:val="20"/>
          <w:szCs w:val="20"/>
        </w:rPr>
        <w:t xml:space="preserve"> </w:t>
      </w:r>
      <w:r w:rsidR="007E38C3" w:rsidRPr="00F47BE6">
        <w:rPr>
          <w:rFonts w:cs="Arial"/>
          <w:sz w:val="20"/>
          <w:szCs w:val="20"/>
        </w:rPr>
        <w:t>Katherine Kissler, Shannon Pirrie,</w:t>
      </w:r>
      <w:r w:rsidR="00CA0072">
        <w:rPr>
          <w:rFonts w:cs="Arial"/>
          <w:sz w:val="20"/>
          <w:szCs w:val="20"/>
        </w:rPr>
        <w:t xml:space="preserve"> </w:t>
      </w:r>
      <w:r w:rsidR="007E38C3" w:rsidRPr="00F47BE6">
        <w:rPr>
          <w:rFonts w:cs="Arial"/>
          <w:sz w:val="20"/>
          <w:szCs w:val="20"/>
        </w:rPr>
        <w:t>Brie Thumm</w:t>
      </w:r>
    </w:p>
    <w:p w14:paraId="306E9E2C" w14:textId="77777777" w:rsidR="00CA0072" w:rsidRDefault="00CA0072" w:rsidP="00D36E11">
      <w:pPr>
        <w:spacing w:after="0" w:line="240" w:lineRule="auto"/>
        <w:rPr>
          <w:rFonts w:cs="Arial"/>
          <w:sz w:val="20"/>
          <w:szCs w:val="20"/>
        </w:rPr>
      </w:pPr>
    </w:p>
    <w:p w14:paraId="5609D46C" w14:textId="073C53FC" w:rsidR="00002CD7" w:rsidRPr="00F47BE6" w:rsidRDefault="007E38C3" w:rsidP="00D36E11">
      <w:pPr>
        <w:spacing w:after="0" w:line="240" w:lineRule="auto"/>
        <w:rPr>
          <w:rFonts w:cs="Arial"/>
          <w:sz w:val="20"/>
          <w:szCs w:val="20"/>
        </w:rPr>
      </w:pPr>
      <w:r w:rsidRPr="00F47BE6">
        <w:rPr>
          <w:rFonts w:cs="Arial"/>
          <w:sz w:val="20"/>
          <w:szCs w:val="20"/>
        </w:rPr>
        <w:t>College of Nursing</w:t>
      </w:r>
    </w:p>
    <w:p w14:paraId="52272859" w14:textId="77777777" w:rsidR="00002CD7" w:rsidRDefault="00002CD7" w:rsidP="00D36E11">
      <w:pPr>
        <w:spacing w:after="0" w:line="240" w:lineRule="auto"/>
        <w:rPr>
          <w:rFonts w:cs="Arial"/>
          <w:sz w:val="20"/>
          <w:szCs w:val="20"/>
        </w:rPr>
      </w:pPr>
    </w:p>
    <w:p w14:paraId="78B84715" w14:textId="77777777" w:rsidR="00CA0072" w:rsidRPr="00F47BE6" w:rsidRDefault="00CA0072" w:rsidP="00D36E11">
      <w:pPr>
        <w:spacing w:after="0" w:line="240" w:lineRule="auto"/>
        <w:rPr>
          <w:rFonts w:cs="Arial"/>
          <w:sz w:val="20"/>
          <w:szCs w:val="20"/>
        </w:rPr>
      </w:pPr>
    </w:p>
    <w:p w14:paraId="5BC0D48E" w14:textId="6E96F760" w:rsidR="00002CD7" w:rsidRPr="00266661" w:rsidRDefault="007673A4" w:rsidP="00D36E11">
      <w:pPr>
        <w:spacing w:after="0" w:line="240" w:lineRule="auto"/>
        <w:rPr>
          <w:rFonts w:cs="Arial"/>
          <w:sz w:val="20"/>
          <w:szCs w:val="20"/>
          <w:u w:val="single"/>
        </w:rPr>
      </w:pPr>
      <w:r>
        <w:rPr>
          <w:rFonts w:cs="Arial"/>
          <w:b/>
          <w:sz w:val="20"/>
          <w:szCs w:val="20"/>
          <w:u w:val="single"/>
        </w:rPr>
        <w:t xml:space="preserve">48. </w:t>
      </w:r>
      <w:r w:rsidR="007E38C3" w:rsidRPr="00266661">
        <w:rPr>
          <w:rFonts w:cs="Arial"/>
          <w:b/>
          <w:sz w:val="20"/>
          <w:szCs w:val="20"/>
          <w:u w:val="single"/>
        </w:rPr>
        <w:t>Collaboration Between the Primary Care Diabetes Lab (PCDL) and the Colorado Ambulatory Partnership for Health Innovation and Research Excellence (CAMPHIRE)</w:t>
      </w:r>
    </w:p>
    <w:p w14:paraId="3DC0336A" w14:textId="77777777" w:rsidR="00266661" w:rsidRDefault="00266661" w:rsidP="00D36E11">
      <w:pPr>
        <w:spacing w:after="0" w:line="240" w:lineRule="auto"/>
        <w:rPr>
          <w:rFonts w:cs="Arial"/>
          <w:b/>
          <w:sz w:val="20"/>
          <w:szCs w:val="20"/>
        </w:rPr>
      </w:pPr>
    </w:p>
    <w:p w14:paraId="0FA72820" w14:textId="306C1722"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Chelsea Sobczak, University of Colorado School of Medicine</w:t>
      </w:r>
    </w:p>
    <w:p w14:paraId="28BF0AF6" w14:textId="77777777" w:rsidR="00266661" w:rsidRDefault="00266661" w:rsidP="00D36E11">
      <w:pPr>
        <w:spacing w:after="0" w:line="240" w:lineRule="auto"/>
        <w:rPr>
          <w:rFonts w:cs="Arial"/>
          <w:sz w:val="20"/>
          <w:szCs w:val="20"/>
        </w:rPr>
      </w:pPr>
    </w:p>
    <w:p w14:paraId="1ABB139E" w14:textId="423638A9" w:rsidR="00002CD7" w:rsidRPr="00F47BE6" w:rsidRDefault="007E38C3" w:rsidP="00D36E11">
      <w:pPr>
        <w:spacing w:after="0" w:line="240" w:lineRule="auto"/>
        <w:rPr>
          <w:rFonts w:cs="Arial"/>
          <w:sz w:val="20"/>
          <w:szCs w:val="20"/>
        </w:rPr>
      </w:pPr>
      <w:r w:rsidRPr="00266661">
        <w:rPr>
          <w:rFonts w:cs="Arial"/>
          <w:sz w:val="20"/>
          <w:szCs w:val="20"/>
          <w:u w:val="single"/>
        </w:rPr>
        <w:t>Background</w:t>
      </w:r>
      <w:r w:rsidR="00266661" w:rsidRPr="00266661">
        <w:rPr>
          <w:rFonts w:cs="Arial"/>
          <w:sz w:val="20"/>
          <w:szCs w:val="20"/>
          <w:u w:val="single"/>
        </w:rPr>
        <w:t>:</w:t>
      </w:r>
      <w:r w:rsidR="00266661">
        <w:rPr>
          <w:rFonts w:cs="Arial"/>
          <w:sz w:val="20"/>
          <w:szCs w:val="20"/>
        </w:rPr>
        <w:t xml:space="preserve"> </w:t>
      </w:r>
      <w:r w:rsidRPr="00F47BE6">
        <w:rPr>
          <w:rFonts w:cs="Arial"/>
          <w:sz w:val="20"/>
          <w:szCs w:val="20"/>
        </w:rPr>
        <w:t xml:space="preserve">The Primary Care Diabetes Lab (PCDL) was created in 2020 to increase the inclusion of primary care patients in diabetes research and decrease disparities in diabetes. Most diabetes research is conducted by endocrinologists, yet primary care practices see 50% of adults with type 1 diabetes (T1D) and 90% of people with type 2 diabetes (T2D). Colorado Ambulatory Partnership for Health Innovation and Research Excellence (CAMPHIRE) was established in 2025 to conduct and foster collaborative practice- and community-based research, education, and innovation in real-world clinical practice to improve the health and well-being of communities, across the lifespan. The PCDL is a proud partner of CAMPHIRE in the Department of Family Medicine at the University of Colorado. </w:t>
      </w:r>
      <w:r w:rsidRPr="00F47BE6">
        <w:rPr>
          <w:rFonts w:cs="Arial"/>
          <w:sz w:val="20"/>
          <w:szCs w:val="20"/>
        </w:rPr>
        <w:br/>
      </w:r>
      <w:r w:rsidRPr="00266661">
        <w:rPr>
          <w:rFonts w:cs="Arial"/>
          <w:sz w:val="20"/>
          <w:szCs w:val="20"/>
          <w:u w:val="single"/>
        </w:rPr>
        <w:t>Methods</w:t>
      </w:r>
      <w:r w:rsidR="00266661" w:rsidRPr="00266661">
        <w:rPr>
          <w:rFonts w:cs="Arial"/>
          <w:sz w:val="20"/>
          <w:szCs w:val="20"/>
          <w:u w:val="single"/>
        </w:rPr>
        <w:t>:</w:t>
      </w:r>
      <w:r w:rsidR="00266661">
        <w:rPr>
          <w:rFonts w:cs="Arial"/>
          <w:sz w:val="20"/>
          <w:szCs w:val="20"/>
        </w:rPr>
        <w:t xml:space="preserve"> </w:t>
      </w:r>
      <w:r w:rsidRPr="00F47BE6">
        <w:rPr>
          <w:rFonts w:cs="Arial"/>
          <w:sz w:val="20"/>
          <w:szCs w:val="20"/>
        </w:rPr>
        <w:t>CAMPHIRE integrated the Practice Innovation Program (PIP) and State Networks of Colorado Ambulatory Practices and Partners (SNOCAP) into a new collaboration with expertise in practice-and community-based research. The PCDL has expertise in conducting clinical trials and working with a diverse group of patients living with prediabetes, type 1 diabetes and type 2 diabetes, providers, and practices. CAMPHIRE and the PCDL share a spirit of innovation and a focus on assuring research is scalable to primary care patients and practices. This close partnership is also fostered through the inclusion of members of the PCDL as leadership in CAMPHIRE.</w:t>
      </w:r>
      <w:r w:rsidRPr="00F47BE6">
        <w:rPr>
          <w:rFonts w:cs="Arial"/>
          <w:sz w:val="20"/>
          <w:szCs w:val="20"/>
        </w:rPr>
        <w:br/>
      </w:r>
      <w:r w:rsidRPr="00266661">
        <w:rPr>
          <w:rFonts w:cs="Arial"/>
          <w:sz w:val="20"/>
          <w:szCs w:val="20"/>
          <w:u w:val="single"/>
        </w:rPr>
        <w:t>Results</w:t>
      </w:r>
      <w:r w:rsidR="00266661" w:rsidRPr="00266661">
        <w:rPr>
          <w:rFonts w:cs="Arial"/>
          <w:sz w:val="20"/>
          <w:szCs w:val="20"/>
          <w:u w:val="single"/>
        </w:rPr>
        <w:t>:</w:t>
      </w:r>
      <w:r w:rsidR="00266661">
        <w:rPr>
          <w:rFonts w:cs="Arial"/>
          <w:sz w:val="20"/>
          <w:szCs w:val="20"/>
        </w:rPr>
        <w:t xml:space="preserve"> </w:t>
      </w:r>
      <w:r w:rsidRPr="00F47BE6">
        <w:rPr>
          <w:rFonts w:cs="Arial"/>
          <w:sz w:val="20"/>
          <w:szCs w:val="20"/>
        </w:rPr>
        <w:t xml:space="preserve">The close partnership of CAMPHIRE and the PCDL creates a research enterprise that is uniquely poised as a leader in primary care research with expertise in both highly regulated clinical trials, community and practice-based research, and dissemination and implementation expertise.   Since its creation, the PCDL team has had continuous federal, foundation, and industry funding, welcomed additional clinician researchers, research professionals, and student assistants. The PCDL partners with a Patient Advisory Council and maintains a </w:t>
      </w:r>
      <w:r w:rsidRPr="00F47BE6">
        <w:rPr>
          <w:rFonts w:cs="Arial"/>
          <w:sz w:val="20"/>
          <w:szCs w:val="20"/>
        </w:rPr>
        <w:lastRenderedPageBreak/>
        <w:t>Community of Discovery with a patient registry with over 1000 members interested in research opportunities. Building upon previous work of its legacy programs, CAMPHIRE has maintained over 324 active practice and partner contacts through over 30 active projects and studies from diverse sources of funding (NIH, PCORI, State of Colorado, and foundation) led by over 25 individual principal investigators. Since July 2025, CAMPHIRE has fielded over 40 requests from campus, state, and national partners looking to collaborate.</w:t>
      </w:r>
      <w:r w:rsidRPr="00F47BE6">
        <w:rPr>
          <w:rFonts w:cs="Arial"/>
          <w:sz w:val="20"/>
          <w:szCs w:val="20"/>
        </w:rPr>
        <w:br/>
      </w:r>
      <w:r w:rsidRPr="00266661">
        <w:rPr>
          <w:rFonts w:cs="Arial"/>
          <w:sz w:val="20"/>
          <w:szCs w:val="20"/>
          <w:u w:val="single"/>
        </w:rPr>
        <w:t>Discussion/Conclusions</w:t>
      </w:r>
      <w:r w:rsidR="00266661" w:rsidRPr="00266661">
        <w:rPr>
          <w:rFonts w:cs="Arial"/>
          <w:sz w:val="20"/>
          <w:szCs w:val="20"/>
          <w:u w:val="single"/>
        </w:rPr>
        <w:t>:</w:t>
      </w:r>
      <w:r w:rsidR="00266661">
        <w:rPr>
          <w:rFonts w:cs="Arial"/>
          <w:sz w:val="20"/>
          <w:szCs w:val="20"/>
        </w:rPr>
        <w:t xml:space="preserve"> </w:t>
      </w:r>
      <w:r w:rsidRPr="00F47BE6">
        <w:rPr>
          <w:rFonts w:cs="Arial"/>
          <w:sz w:val="20"/>
          <w:szCs w:val="20"/>
        </w:rPr>
        <w:t>The partnership of CAMPHIRE and the PCDL fosters the conduct of research across the spectrum of early phase clinical trials to the implementation of research findings into real-world primary care practices. This type of research infrastructure is unique and serves as an innovative model for the future of primary care research.</w:t>
      </w:r>
    </w:p>
    <w:p w14:paraId="6DC8A943" w14:textId="77777777" w:rsidR="00266661" w:rsidRDefault="00266661" w:rsidP="00D36E11">
      <w:pPr>
        <w:spacing w:after="0" w:line="240" w:lineRule="auto"/>
        <w:rPr>
          <w:rFonts w:cs="Arial"/>
          <w:b/>
          <w:sz w:val="20"/>
          <w:szCs w:val="20"/>
        </w:rPr>
      </w:pPr>
    </w:p>
    <w:p w14:paraId="15EC4C86" w14:textId="6FB7398F" w:rsidR="00002CD7" w:rsidRPr="00F47BE6"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Jessica Parascando, MPH</w:t>
      </w:r>
      <w:r w:rsidR="00266661">
        <w:rPr>
          <w:rFonts w:cs="Arial"/>
          <w:sz w:val="20"/>
          <w:szCs w:val="20"/>
        </w:rPr>
        <w:t>,</w:t>
      </w:r>
      <w:r w:rsidR="007E38C3" w:rsidRPr="00F47BE6">
        <w:rPr>
          <w:rFonts w:cs="Arial"/>
          <w:sz w:val="20"/>
          <w:szCs w:val="20"/>
        </w:rPr>
        <w:t xml:space="preserve"> Sarah Brewer, PhD, MPA</w:t>
      </w:r>
      <w:r w:rsidR="00266661">
        <w:rPr>
          <w:rFonts w:cs="Arial"/>
          <w:sz w:val="20"/>
          <w:szCs w:val="20"/>
        </w:rPr>
        <w:t>,</w:t>
      </w:r>
      <w:r w:rsidR="007E38C3" w:rsidRPr="00F47BE6">
        <w:rPr>
          <w:rFonts w:cs="Arial"/>
          <w:sz w:val="20"/>
          <w:szCs w:val="20"/>
        </w:rPr>
        <w:t xml:space="preserve"> Kristin Crispe, MPH, PMP</w:t>
      </w:r>
      <w:r w:rsidR="00266661">
        <w:rPr>
          <w:rFonts w:cs="Arial"/>
          <w:sz w:val="20"/>
          <w:szCs w:val="20"/>
        </w:rPr>
        <w:t>,</w:t>
      </w:r>
      <w:r w:rsidR="007E38C3" w:rsidRPr="00F47BE6">
        <w:rPr>
          <w:rFonts w:cs="Arial"/>
          <w:sz w:val="20"/>
          <w:szCs w:val="20"/>
        </w:rPr>
        <w:t xml:space="preserve"> Mary Fisher, MPH, CHES</w:t>
      </w:r>
      <w:r w:rsidR="00266661">
        <w:rPr>
          <w:rFonts w:cs="Arial"/>
          <w:sz w:val="20"/>
          <w:szCs w:val="20"/>
        </w:rPr>
        <w:t>,</w:t>
      </w:r>
      <w:r w:rsidR="007E38C3" w:rsidRPr="00F47BE6">
        <w:rPr>
          <w:rFonts w:cs="Arial"/>
          <w:sz w:val="20"/>
          <w:szCs w:val="20"/>
        </w:rPr>
        <w:t xml:space="preserve"> Tristen Hall, PhD</w:t>
      </w:r>
      <w:r w:rsidR="00266661">
        <w:rPr>
          <w:rFonts w:cs="Arial"/>
          <w:sz w:val="20"/>
          <w:szCs w:val="20"/>
        </w:rPr>
        <w:t>,</w:t>
      </w:r>
      <w:r w:rsidR="007E38C3" w:rsidRPr="00F47BE6">
        <w:rPr>
          <w:rFonts w:cs="Arial"/>
          <w:sz w:val="20"/>
          <w:szCs w:val="20"/>
        </w:rPr>
        <w:t xml:space="preserve"> Bonnie T. Jortberg, PhD, RDN, CDCES</w:t>
      </w:r>
      <w:r w:rsidR="00266661">
        <w:rPr>
          <w:rFonts w:cs="Arial"/>
          <w:sz w:val="20"/>
          <w:szCs w:val="20"/>
        </w:rPr>
        <w:t>,</w:t>
      </w:r>
      <w:r w:rsidR="007E38C3" w:rsidRPr="00F47BE6">
        <w:rPr>
          <w:rFonts w:cs="Arial"/>
          <w:sz w:val="20"/>
          <w:szCs w:val="20"/>
        </w:rPr>
        <w:t xml:space="preserve"> Marisa Kostiuk, PhD</w:t>
      </w:r>
      <w:r w:rsidR="00266661">
        <w:rPr>
          <w:rFonts w:cs="Arial"/>
          <w:sz w:val="20"/>
          <w:szCs w:val="20"/>
        </w:rPr>
        <w:t>,</w:t>
      </w:r>
      <w:r w:rsidR="007E38C3" w:rsidRPr="00F47BE6">
        <w:rPr>
          <w:rFonts w:cs="Arial"/>
          <w:sz w:val="20"/>
          <w:szCs w:val="20"/>
        </w:rPr>
        <w:t xml:space="preserve"> Erik Kramer, DO, MPH</w:t>
      </w:r>
      <w:r w:rsidR="00266661">
        <w:rPr>
          <w:rFonts w:cs="Arial"/>
          <w:sz w:val="20"/>
          <w:szCs w:val="20"/>
        </w:rPr>
        <w:t>,</w:t>
      </w:r>
      <w:r w:rsidR="007E38C3" w:rsidRPr="00F47BE6">
        <w:rPr>
          <w:rFonts w:cs="Arial"/>
          <w:sz w:val="20"/>
          <w:szCs w:val="20"/>
        </w:rPr>
        <w:t xml:space="preserve"> Shwetan Kumar, BS</w:t>
      </w:r>
      <w:r w:rsidR="00266661">
        <w:rPr>
          <w:rFonts w:cs="Arial"/>
          <w:sz w:val="20"/>
          <w:szCs w:val="20"/>
        </w:rPr>
        <w:t>,</w:t>
      </w:r>
      <w:r w:rsidR="007E38C3" w:rsidRPr="00F47BE6">
        <w:rPr>
          <w:rFonts w:cs="Arial"/>
          <w:sz w:val="20"/>
          <w:szCs w:val="20"/>
        </w:rPr>
        <w:t xml:space="preserve"> Sean M. Oser, MD, MPH, CDCES</w:t>
      </w:r>
      <w:r w:rsidR="00266661">
        <w:rPr>
          <w:rFonts w:cs="Arial"/>
          <w:sz w:val="20"/>
          <w:szCs w:val="20"/>
        </w:rPr>
        <w:t>,</w:t>
      </w:r>
      <w:r w:rsidR="007E38C3" w:rsidRPr="00F47BE6">
        <w:rPr>
          <w:rFonts w:cs="Arial"/>
          <w:sz w:val="20"/>
          <w:szCs w:val="20"/>
        </w:rPr>
        <w:t xml:space="preserve"> Benjamin Sheneman, BA</w:t>
      </w:r>
      <w:r w:rsidR="00266661">
        <w:rPr>
          <w:rFonts w:cs="Arial"/>
          <w:sz w:val="20"/>
          <w:szCs w:val="20"/>
        </w:rPr>
        <w:t>,</w:t>
      </w:r>
      <w:r w:rsidR="007E38C3" w:rsidRPr="00F47BE6">
        <w:rPr>
          <w:rFonts w:cs="Arial"/>
          <w:sz w:val="20"/>
          <w:szCs w:val="20"/>
        </w:rPr>
        <w:t xml:space="preserve"> Chelsea Sobczak, MPH</w:t>
      </w:r>
      <w:r w:rsidR="00266661">
        <w:rPr>
          <w:rFonts w:cs="Arial"/>
          <w:sz w:val="20"/>
          <w:szCs w:val="20"/>
        </w:rPr>
        <w:t>,</w:t>
      </w:r>
      <w:r w:rsidR="007E38C3" w:rsidRPr="00F47BE6">
        <w:rPr>
          <w:rFonts w:cs="Arial"/>
          <w:sz w:val="20"/>
          <w:szCs w:val="20"/>
        </w:rPr>
        <w:t xml:space="preserve"> Elizabeth Westfeldt, BA, BSN, RN</w:t>
      </w:r>
      <w:r w:rsidR="00266661">
        <w:rPr>
          <w:rFonts w:cs="Arial"/>
          <w:sz w:val="20"/>
          <w:szCs w:val="20"/>
        </w:rPr>
        <w:t>,</w:t>
      </w:r>
      <w:r w:rsidR="007E38C3" w:rsidRPr="00F47BE6">
        <w:rPr>
          <w:rFonts w:cs="Arial"/>
          <w:sz w:val="20"/>
          <w:szCs w:val="20"/>
        </w:rPr>
        <w:t xml:space="preserve"> Tamara K. Oser, MD</w:t>
      </w:r>
      <w:r w:rsidR="007E38C3" w:rsidRPr="00F47BE6">
        <w:rPr>
          <w:rFonts w:cs="Arial"/>
          <w:sz w:val="20"/>
          <w:szCs w:val="20"/>
        </w:rPr>
        <w:br/>
      </w:r>
      <w:r w:rsidR="007E38C3" w:rsidRPr="00F47BE6">
        <w:rPr>
          <w:rFonts w:cs="Arial"/>
          <w:sz w:val="20"/>
          <w:szCs w:val="20"/>
        </w:rPr>
        <w:br/>
        <w:t>Department of Family Medicine, University of Colorado Anschutz Medical Campus, Aurora, CO</w:t>
      </w:r>
    </w:p>
    <w:p w14:paraId="25406608" w14:textId="77777777" w:rsidR="00002CD7" w:rsidRDefault="00002CD7" w:rsidP="00D36E11">
      <w:pPr>
        <w:spacing w:after="0" w:line="240" w:lineRule="auto"/>
        <w:rPr>
          <w:rFonts w:cs="Arial"/>
          <w:sz w:val="20"/>
          <w:szCs w:val="20"/>
        </w:rPr>
      </w:pPr>
    </w:p>
    <w:p w14:paraId="1418F518" w14:textId="77777777" w:rsidR="00266661" w:rsidRPr="00F47BE6" w:rsidRDefault="00266661" w:rsidP="00D36E11">
      <w:pPr>
        <w:spacing w:after="0" w:line="240" w:lineRule="auto"/>
        <w:rPr>
          <w:rFonts w:cs="Arial"/>
          <w:sz w:val="20"/>
          <w:szCs w:val="20"/>
        </w:rPr>
      </w:pPr>
    </w:p>
    <w:p w14:paraId="2924CE90" w14:textId="5A7A6911" w:rsidR="00002CD7" w:rsidRPr="00751DA1" w:rsidRDefault="0072599A" w:rsidP="00D36E11">
      <w:pPr>
        <w:spacing w:after="0" w:line="240" w:lineRule="auto"/>
        <w:rPr>
          <w:rFonts w:cs="Arial"/>
          <w:sz w:val="20"/>
          <w:szCs w:val="20"/>
          <w:u w:val="single"/>
        </w:rPr>
      </w:pPr>
      <w:r>
        <w:rPr>
          <w:rFonts w:cs="Arial"/>
          <w:b/>
          <w:sz w:val="20"/>
          <w:szCs w:val="20"/>
          <w:u w:val="single"/>
        </w:rPr>
        <w:t xml:space="preserve">49. </w:t>
      </w:r>
      <w:r w:rsidR="007E38C3" w:rsidRPr="00751DA1">
        <w:rPr>
          <w:rFonts w:cs="Arial"/>
          <w:b/>
          <w:sz w:val="20"/>
          <w:szCs w:val="20"/>
          <w:u w:val="single"/>
        </w:rPr>
        <w:t>Post-implementation parental perspectives of antibiotic prescribing for children with acute otitis media</w:t>
      </w:r>
    </w:p>
    <w:p w14:paraId="1FDE7E93" w14:textId="77777777" w:rsidR="007A7813" w:rsidRDefault="007A7813" w:rsidP="00D36E11">
      <w:pPr>
        <w:spacing w:after="0" w:line="240" w:lineRule="auto"/>
        <w:rPr>
          <w:rFonts w:cs="Arial"/>
          <w:b/>
          <w:sz w:val="20"/>
          <w:szCs w:val="20"/>
        </w:rPr>
      </w:pPr>
    </w:p>
    <w:p w14:paraId="041536BE" w14:textId="475841BB"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Aiden Gilbert, Denver Health</w:t>
      </w:r>
    </w:p>
    <w:p w14:paraId="69F69FB5" w14:textId="77777777" w:rsidR="007A7813" w:rsidRDefault="007A7813" w:rsidP="00D36E11">
      <w:pPr>
        <w:spacing w:after="0" w:line="240" w:lineRule="auto"/>
        <w:rPr>
          <w:rFonts w:cs="Arial"/>
          <w:b/>
          <w:bCs/>
          <w:sz w:val="20"/>
          <w:szCs w:val="20"/>
        </w:rPr>
      </w:pPr>
    </w:p>
    <w:p w14:paraId="3CE1D4FD" w14:textId="35AA8680"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Acute Otitis Media (AOM) is the most common reason children are prescribed antibiotics. Over 94% of children ≥2 years are prescribed longer-than-recommended courses, and nearly half of antibiotic exposure days are unnecessary, contributing to antibiotic resistance and adverse patient outcomes. We implemented interventions at two geographically distinct healthcare systems focused on reducing antibiotic durations: electronic health record (EHR) modifications, provider prescribing feedback, and parent education. Following implementation, this qualitative study aimed to understand parent perspectives on shorter antibiotic courses and identify facilitators and barriers to improving guideline-concordant antibiotic prescribing.</w:t>
      </w:r>
      <w:r w:rsidRPr="00F47BE6">
        <w:rPr>
          <w:rFonts w:cs="Arial"/>
          <w:sz w:val="20"/>
          <w:szCs w:val="20"/>
        </w:rPr>
        <w:br/>
      </w:r>
      <w:r w:rsidRPr="00751DA1">
        <w:rPr>
          <w:rFonts w:cs="Arial"/>
          <w:sz w:val="20"/>
          <w:szCs w:val="20"/>
          <w:u w:val="single"/>
        </w:rPr>
        <w:t>Methods:</w:t>
      </w:r>
      <w:r w:rsidRPr="00F47BE6">
        <w:rPr>
          <w:rFonts w:cs="Arial"/>
          <w:sz w:val="20"/>
          <w:szCs w:val="20"/>
        </w:rPr>
        <w:t xml:space="preserve"> We conducted focus groups with parents of children recently diagnosed with AOM at each participating healthcare system. Discussions explored parent attitudes toward shorter antibiotic courses for uncomplicated AOM and educational needs. The Practical, Robust Implementation and Sustainability Model (PRISM) guided the study, and focus groups were analyzed using the Rapid Assessment Process.</w:t>
      </w:r>
      <w:r w:rsidRPr="00F47BE6">
        <w:rPr>
          <w:rFonts w:cs="Arial"/>
          <w:sz w:val="20"/>
          <w:szCs w:val="20"/>
        </w:rPr>
        <w:br/>
      </w:r>
      <w:r w:rsidRPr="00751DA1">
        <w:rPr>
          <w:rFonts w:cs="Arial"/>
          <w:sz w:val="20"/>
          <w:szCs w:val="20"/>
          <w:u w:val="single"/>
        </w:rPr>
        <w:t>Results:</w:t>
      </w:r>
      <w:r w:rsidRPr="00F47BE6">
        <w:rPr>
          <w:rFonts w:cs="Arial"/>
          <w:sz w:val="20"/>
          <w:szCs w:val="20"/>
        </w:rPr>
        <w:t xml:space="preserve"> Eleven parents participated in two focus groups. Most (64%) had at least one child with chronic or severe AOM. Parents were receptive to 5-day versus 10-day antibiotic courses but desired more education, potentially before sick visits. Parents reported continued use of 10-day prescriptions, high trust in clinicians, and limited exposure to study educational materials. Discussions about antibiotic risks, benefits and pain management varied. Themes from pre-implementation focus groups, including educational needs and concerns about the feasibility of watchful waiting, remained evident after implementation.</w:t>
      </w:r>
      <w:r w:rsidRPr="00F47BE6">
        <w:rPr>
          <w:rFonts w:cs="Arial"/>
          <w:sz w:val="20"/>
          <w:szCs w:val="20"/>
        </w:rPr>
        <w:br/>
      </w:r>
      <w:r w:rsidRPr="00751DA1">
        <w:rPr>
          <w:rFonts w:cs="Arial"/>
          <w:sz w:val="20"/>
          <w:szCs w:val="20"/>
          <w:u w:val="single"/>
        </w:rPr>
        <w:t>Conclusions:</w:t>
      </w:r>
      <w:r w:rsidRPr="00F47BE6">
        <w:rPr>
          <w:rFonts w:cs="Arial"/>
          <w:sz w:val="20"/>
          <w:szCs w:val="20"/>
        </w:rPr>
        <w:t xml:space="preserve"> Parents, including those with experience managing complicated AOM, are receptive to shorter antibiotic courses when provided with clear evidence. Findings suggest that the primary challenge is not parent resistance, but effectively engaging parents and consistently delivering educational materials. Innovative approaches to educating parents before and during sick visits may help position parents as active participants in AOM treatment decisions. Rapid qualitative methods effectively identified evolving multilevel facilitators and barriers throughout implementation.</w:t>
      </w:r>
    </w:p>
    <w:p w14:paraId="6EA8357A" w14:textId="77777777" w:rsidR="006104A9" w:rsidRDefault="006104A9" w:rsidP="00D36E11">
      <w:pPr>
        <w:spacing w:after="0" w:line="240" w:lineRule="auto"/>
        <w:rPr>
          <w:rFonts w:cs="Arial"/>
          <w:b/>
          <w:sz w:val="20"/>
          <w:szCs w:val="20"/>
        </w:rPr>
      </w:pPr>
    </w:p>
    <w:p w14:paraId="3EB4D011" w14:textId="6CA41AE2"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Aiden Gilbert, MPA</w:t>
      </w:r>
      <w:r w:rsidR="005B7F5C">
        <w:rPr>
          <w:rFonts w:cs="Arial"/>
          <w:sz w:val="20"/>
          <w:szCs w:val="20"/>
        </w:rPr>
        <w:t xml:space="preserve">, </w:t>
      </w:r>
      <w:r w:rsidR="007E38C3" w:rsidRPr="00F47BE6">
        <w:rPr>
          <w:rFonts w:cs="Arial"/>
          <w:sz w:val="20"/>
          <w:szCs w:val="20"/>
        </w:rPr>
        <w:t>Leisha Andersen, MD</w:t>
      </w:r>
      <w:r w:rsidR="005B7F5C">
        <w:rPr>
          <w:rFonts w:cs="Arial"/>
          <w:sz w:val="20"/>
          <w:szCs w:val="20"/>
        </w:rPr>
        <w:t xml:space="preserve">, </w:t>
      </w:r>
      <w:r w:rsidR="007E38C3" w:rsidRPr="00F47BE6">
        <w:rPr>
          <w:rFonts w:cs="Arial"/>
          <w:sz w:val="20"/>
          <w:szCs w:val="20"/>
        </w:rPr>
        <w:t>Holly Frost, MD</w:t>
      </w:r>
      <w:r w:rsidR="005B7F5C">
        <w:rPr>
          <w:rFonts w:cs="Arial"/>
          <w:sz w:val="20"/>
          <w:szCs w:val="20"/>
        </w:rPr>
        <w:t xml:space="preserve">, </w:t>
      </w:r>
      <w:r w:rsidR="007E38C3" w:rsidRPr="00F47BE6">
        <w:rPr>
          <w:rFonts w:cs="Arial"/>
          <w:sz w:val="20"/>
          <w:szCs w:val="20"/>
        </w:rPr>
        <w:t>Deborah Rinehart, PhD</w:t>
      </w:r>
    </w:p>
    <w:p w14:paraId="399EF411" w14:textId="77777777" w:rsidR="00002CD7" w:rsidRDefault="00002CD7" w:rsidP="00D36E11">
      <w:pPr>
        <w:spacing w:after="0" w:line="240" w:lineRule="auto"/>
        <w:rPr>
          <w:rFonts w:cs="Arial"/>
          <w:sz w:val="20"/>
          <w:szCs w:val="20"/>
        </w:rPr>
      </w:pPr>
    </w:p>
    <w:p w14:paraId="3501FB35" w14:textId="77777777" w:rsidR="006104A9" w:rsidRPr="00F47BE6" w:rsidRDefault="006104A9" w:rsidP="00D36E11">
      <w:pPr>
        <w:spacing w:after="0" w:line="240" w:lineRule="auto"/>
        <w:rPr>
          <w:rFonts w:cs="Arial"/>
          <w:sz w:val="20"/>
          <w:szCs w:val="20"/>
        </w:rPr>
      </w:pPr>
    </w:p>
    <w:p w14:paraId="22060C7D" w14:textId="34F846AA" w:rsidR="00002CD7" w:rsidRPr="00751DA1" w:rsidRDefault="0072599A" w:rsidP="00D36E11">
      <w:pPr>
        <w:spacing w:after="0" w:line="240" w:lineRule="auto"/>
        <w:rPr>
          <w:rFonts w:cs="Arial"/>
          <w:sz w:val="20"/>
          <w:szCs w:val="20"/>
          <w:u w:val="single"/>
        </w:rPr>
      </w:pPr>
      <w:r>
        <w:rPr>
          <w:rFonts w:cs="Arial"/>
          <w:b/>
          <w:sz w:val="20"/>
          <w:szCs w:val="20"/>
          <w:u w:val="single"/>
        </w:rPr>
        <w:t xml:space="preserve">50. </w:t>
      </w:r>
      <w:r w:rsidR="007E38C3" w:rsidRPr="00751DA1">
        <w:rPr>
          <w:rFonts w:cs="Arial"/>
          <w:b/>
          <w:sz w:val="20"/>
          <w:szCs w:val="20"/>
          <w:u w:val="single"/>
        </w:rPr>
        <w:t>A Case Study on Policy Change and Clinical Quality Improvement: Foundations for better outcomes and a healthier population</w:t>
      </w:r>
    </w:p>
    <w:p w14:paraId="5D72CC5E" w14:textId="77777777" w:rsidR="006104A9" w:rsidRDefault="006104A9" w:rsidP="00D36E11">
      <w:pPr>
        <w:spacing w:after="0" w:line="240" w:lineRule="auto"/>
        <w:rPr>
          <w:rFonts w:cs="Arial"/>
          <w:b/>
          <w:sz w:val="20"/>
          <w:szCs w:val="20"/>
        </w:rPr>
      </w:pPr>
    </w:p>
    <w:p w14:paraId="5D19E8DB" w14:textId="280EDE4C"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Jennifer Halfacre, University of Colorado School of Medicine</w:t>
      </w:r>
    </w:p>
    <w:p w14:paraId="4C0AA2D8" w14:textId="77777777" w:rsidR="006104A9" w:rsidRDefault="006104A9" w:rsidP="00D36E11">
      <w:pPr>
        <w:spacing w:after="0" w:line="240" w:lineRule="auto"/>
        <w:rPr>
          <w:rFonts w:cs="Arial"/>
          <w:b/>
          <w:bCs/>
          <w:sz w:val="20"/>
          <w:szCs w:val="20"/>
        </w:rPr>
      </w:pPr>
    </w:p>
    <w:p w14:paraId="46070468" w14:textId="18172C49"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Policy and QI </w:t>
      </w:r>
      <w:proofErr w:type="gramStart"/>
      <w:r w:rsidRPr="00F47BE6">
        <w:rPr>
          <w:rFonts w:cs="Arial"/>
          <w:sz w:val="20"/>
          <w:szCs w:val="20"/>
        </w:rPr>
        <w:t>are connected with</w:t>
      </w:r>
      <w:proofErr w:type="gramEnd"/>
      <w:r w:rsidRPr="00F47BE6">
        <w:rPr>
          <w:rFonts w:cs="Arial"/>
          <w:sz w:val="20"/>
          <w:szCs w:val="20"/>
        </w:rPr>
        <w:t xml:space="preserve"> policy establishing foundation and direction for QI, while QI provides the data and evidence needed to inform and improve policies to support better outcomes and healthier populations. </w:t>
      </w:r>
      <w:r w:rsidRPr="00F47BE6">
        <w:rPr>
          <w:rFonts w:cs="Arial"/>
          <w:sz w:val="20"/>
          <w:szCs w:val="20"/>
        </w:rPr>
        <w:br/>
      </w:r>
      <w:r w:rsidRPr="00751DA1">
        <w:rPr>
          <w:rFonts w:cs="Arial"/>
          <w:sz w:val="20"/>
          <w:szCs w:val="20"/>
          <w:u w:val="single"/>
        </w:rPr>
        <w:t>Methods:</w:t>
      </w:r>
      <w:r w:rsidRPr="00F47BE6">
        <w:rPr>
          <w:rFonts w:cs="Arial"/>
          <w:sz w:val="20"/>
          <w:szCs w:val="20"/>
        </w:rPr>
        <w:t xml:space="preserve"> This study engages 34 clinics through state-funded programs that seek to improve care integration and practice support for pregnant people with SUD. Through practice facilitation, clinics receive guidance, </w:t>
      </w:r>
      <w:r w:rsidRPr="00F47BE6">
        <w:rPr>
          <w:rFonts w:cs="Arial"/>
          <w:sz w:val="20"/>
          <w:szCs w:val="20"/>
        </w:rPr>
        <w:lastRenderedPageBreak/>
        <w:t>implementation tools, shared learning opportunities, and training to move towards evidence-based care. Goals were established using the Milestone Attestation Checklist (MAC), which was adapted from The 10 Building Blocks of High-Performing Primary Care. Structured monthly and annual data collection inform ongoing quality improvement and a summative outcome evaluation. Through development and dissemination of policy briefs, we educate policy decision-makers and the public on this approach, sharing findings and lessons learned, and identifying opportunities for improvements.</w:t>
      </w:r>
      <w:r w:rsidRPr="00F47BE6">
        <w:rPr>
          <w:rFonts w:cs="Arial"/>
          <w:sz w:val="20"/>
          <w:szCs w:val="20"/>
        </w:rPr>
        <w:br/>
      </w:r>
      <w:r w:rsidRPr="00751DA1">
        <w:rPr>
          <w:rFonts w:cs="Arial"/>
          <w:sz w:val="20"/>
          <w:szCs w:val="20"/>
          <w:u w:val="single"/>
        </w:rPr>
        <w:t>Results:</w:t>
      </w:r>
      <w:r w:rsidRPr="00F47BE6">
        <w:rPr>
          <w:rFonts w:cs="Arial"/>
          <w:sz w:val="20"/>
          <w:szCs w:val="20"/>
        </w:rPr>
        <w:t xml:space="preserve"> There were substantial improvements in outcomes with growth in all areas addressed in the MAC (12-43% increase in completion rate and the largest growth using data to track progress). A total of 14.7% (1,652) pregnant people screened positive for substance use, the majority (75.9%) screening positive for non-opioids. Among those who did screen positive for opioids, 77.3% were prescribed MOUD. Across both programs there were 1,003 births. Over five years, our team has published five policy briefs, which have been disseminated to state agency decision-makers, community-based organizations, and practices caring for this population. An ongoing evaluation is assessing sustainment of these practice changes over time. Finally, we maintain ongoing formal and informal communication with agency leadership to ensure findings and results inform decision-making.</w:t>
      </w:r>
      <w:r w:rsidRPr="00F47BE6">
        <w:rPr>
          <w:rFonts w:cs="Arial"/>
          <w:sz w:val="20"/>
          <w:szCs w:val="20"/>
        </w:rPr>
        <w:br/>
      </w:r>
      <w:r w:rsidRPr="00751DA1">
        <w:rPr>
          <w:rFonts w:cs="Arial"/>
          <w:sz w:val="20"/>
          <w:szCs w:val="20"/>
          <w:u w:val="single"/>
        </w:rPr>
        <w:t>Conclusion:</w:t>
      </w:r>
      <w:r w:rsidRPr="00F47BE6">
        <w:rPr>
          <w:rFonts w:cs="Arial"/>
          <w:sz w:val="20"/>
          <w:szCs w:val="20"/>
        </w:rPr>
        <w:t xml:space="preserve"> This case study highlights the relationship between quality improvement work within diverse clinical practices and strategies to inform policy decision-making. Other clinical quality improvement teams can learn strategies for incorporating policy-focused dissemination into their work.</w:t>
      </w:r>
    </w:p>
    <w:p w14:paraId="1B0026F0" w14:textId="77777777" w:rsidR="006104A9" w:rsidRDefault="006104A9" w:rsidP="00D36E11">
      <w:pPr>
        <w:spacing w:after="0" w:line="240" w:lineRule="auto"/>
        <w:rPr>
          <w:rFonts w:cs="Arial"/>
          <w:b/>
          <w:sz w:val="20"/>
          <w:szCs w:val="20"/>
        </w:rPr>
      </w:pPr>
    </w:p>
    <w:p w14:paraId="1640E45F" w14:textId="4F160665"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Jennifer Halfacre</w:t>
      </w:r>
      <w:r w:rsidR="00033357">
        <w:rPr>
          <w:rFonts w:cs="Arial"/>
          <w:sz w:val="20"/>
          <w:szCs w:val="20"/>
        </w:rPr>
        <w:t xml:space="preserve"> (1), </w:t>
      </w:r>
      <w:r w:rsidR="007E38C3" w:rsidRPr="00F47BE6">
        <w:rPr>
          <w:rFonts w:cs="Arial"/>
          <w:sz w:val="20"/>
          <w:szCs w:val="20"/>
        </w:rPr>
        <w:t>Lauren Quintana</w:t>
      </w:r>
      <w:r w:rsidR="00033357">
        <w:rPr>
          <w:rFonts w:cs="Arial"/>
          <w:sz w:val="20"/>
          <w:szCs w:val="20"/>
        </w:rPr>
        <w:t xml:space="preserve"> (1),</w:t>
      </w:r>
      <w:r w:rsidR="007E38C3" w:rsidRPr="00F47BE6">
        <w:rPr>
          <w:rFonts w:cs="Arial"/>
          <w:sz w:val="20"/>
          <w:szCs w:val="20"/>
        </w:rPr>
        <w:t xml:space="preserve"> Dr. Liza Creel</w:t>
      </w:r>
      <w:r w:rsidR="00986EE7">
        <w:rPr>
          <w:rFonts w:cs="Arial"/>
          <w:sz w:val="20"/>
          <w:szCs w:val="20"/>
        </w:rPr>
        <w:t xml:space="preserve"> (2)</w:t>
      </w:r>
    </w:p>
    <w:p w14:paraId="5EA07EE7" w14:textId="77777777" w:rsidR="006104A9" w:rsidRDefault="006104A9" w:rsidP="00D36E11">
      <w:pPr>
        <w:spacing w:after="0" w:line="240" w:lineRule="auto"/>
        <w:rPr>
          <w:sz w:val="20"/>
          <w:szCs w:val="20"/>
        </w:rPr>
      </w:pPr>
    </w:p>
    <w:p w14:paraId="6DC9C359" w14:textId="6FE27B48" w:rsidR="00033357" w:rsidRDefault="00033357" w:rsidP="00D36E11">
      <w:pPr>
        <w:spacing w:after="0" w:line="240" w:lineRule="auto"/>
        <w:rPr>
          <w:sz w:val="20"/>
          <w:szCs w:val="20"/>
        </w:rPr>
      </w:pPr>
      <w:r>
        <w:rPr>
          <w:sz w:val="20"/>
          <w:szCs w:val="20"/>
        </w:rPr>
        <w:t xml:space="preserve">(1) </w:t>
      </w:r>
      <w:r w:rsidRPr="00F47BE6">
        <w:rPr>
          <w:rFonts w:cs="Arial"/>
          <w:sz w:val="20"/>
          <w:szCs w:val="20"/>
        </w:rPr>
        <w:t>Department of Family Medicine, University of Colorado Anschutz</w:t>
      </w:r>
    </w:p>
    <w:p w14:paraId="7058316E" w14:textId="77777777" w:rsidR="00033357" w:rsidRDefault="00033357" w:rsidP="00D36E11">
      <w:pPr>
        <w:spacing w:after="0" w:line="240" w:lineRule="auto"/>
        <w:rPr>
          <w:sz w:val="20"/>
          <w:szCs w:val="20"/>
        </w:rPr>
      </w:pPr>
      <w:r>
        <w:rPr>
          <w:sz w:val="20"/>
          <w:szCs w:val="20"/>
        </w:rPr>
        <w:t xml:space="preserve">(2) </w:t>
      </w:r>
      <w:r w:rsidRPr="00F47BE6">
        <w:rPr>
          <w:rFonts w:cs="Arial"/>
          <w:sz w:val="20"/>
          <w:szCs w:val="20"/>
        </w:rPr>
        <w:t>Department of Medicine, University of Colorado Anschutz</w:t>
      </w:r>
    </w:p>
    <w:p w14:paraId="5285DB24" w14:textId="77777777" w:rsidR="00002CD7" w:rsidRDefault="00002CD7" w:rsidP="00D36E11">
      <w:pPr>
        <w:spacing w:after="0" w:line="240" w:lineRule="auto"/>
        <w:rPr>
          <w:rFonts w:cs="Arial"/>
          <w:sz w:val="20"/>
          <w:szCs w:val="20"/>
        </w:rPr>
      </w:pPr>
    </w:p>
    <w:p w14:paraId="536E3DE3" w14:textId="77777777" w:rsidR="006104A9" w:rsidRPr="00F47BE6" w:rsidRDefault="006104A9" w:rsidP="00D36E11">
      <w:pPr>
        <w:spacing w:after="0" w:line="240" w:lineRule="auto"/>
        <w:rPr>
          <w:rFonts w:cs="Arial"/>
          <w:sz w:val="20"/>
          <w:szCs w:val="20"/>
        </w:rPr>
      </w:pPr>
    </w:p>
    <w:p w14:paraId="0497F1A4" w14:textId="0E3CF25F" w:rsidR="00002CD7" w:rsidRPr="00751DA1" w:rsidRDefault="000D0C44" w:rsidP="00D36E11">
      <w:pPr>
        <w:spacing w:after="0" w:line="240" w:lineRule="auto"/>
        <w:rPr>
          <w:rFonts w:cs="Arial"/>
          <w:sz w:val="20"/>
          <w:szCs w:val="20"/>
          <w:u w:val="single"/>
        </w:rPr>
      </w:pPr>
      <w:r>
        <w:rPr>
          <w:rFonts w:cs="Arial"/>
          <w:b/>
          <w:sz w:val="20"/>
          <w:szCs w:val="20"/>
          <w:u w:val="single"/>
        </w:rPr>
        <w:t xml:space="preserve">51. </w:t>
      </w:r>
      <w:r w:rsidR="007E38C3" w:rsidRPr="00751DA1">
        <w:rPr>
          <w:rFonts w:cs="Arial"/>
          <w:b/>
          <w:sz w:val="20"/>
          <w:szCs w:val="20"/>
          <w:u w:val="single"/>
        </w:rPr>
        <w:t>Community Engagement in the Top 50 United States Ophthalmology Residency Programs: A Web-based Review</w:t>
      </w:r>
    </w:p>
    <w:p w14:paraId="2BEDD14D" w14:textId="77777777" w:rsidR="006104A9" w:rsidRDefault="006104A9" w:rsidP="00D36E11">
      <w:pPr>
        <w:spacing w:after="0" w:line="240" w:lineRule="auto"/>
        <w:rPr>
          <w:rFonts w:cs="Arial"/>
          <w:b/>
          <w:sz w:val="20"/>
          <w:szCs w:val="20"/>
        </w:rPr>
      </w:pPr>
    </w:p>
    <w:p w14:paraId="541DC5BE" w14:textId="6AED47F1"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Ifrah Khurram, University of Colorado School of Medicine</w:t>
      </w:r>
    </w:p>
    <w:p w14:paraId="11641160" w14:textId="77777777" w:rsidR="006104A9" w:rsidRDefault="006104A9" w:rsidP="00D36E11">
      <w:pPr>
        <w:spacing w:after="0" w:line="240" w:lineRule="auto"/>
        <w:rPr>
          <w:rFonts w:cs="Arial"/>
          <w:b/>
          <w:bCs/>
          <w:sz w:val="20"/>
          <w:szCs w:val="20"/>
        </w:rPr>
      </w:pPr>
    </w:p>
    <w:p w14:paraId="1537E776" w14:textId="5D834E6A"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There has been increasing interest among medical students in community outreach programs for residency training. Currently, there is no standardization in how ophthalmology residency programs report community engagement, making it difficult for applicants to assess a program’s outreach involvement. We aim to review the publicly available information on community outreach during residency training. </w:t>
      </w:r>
      <w:r w:rsidRPr="00F47BE6">
        <w:rPr>
          <w:rFonts w:cs="Arial"/>
          <w:sz w:val="20"/>
          <w:szCs w:val="20"/>
        </w:rPr>
        <w:br/>
      </w:r>
      <w:r w:rsidRPr="00751DA1">
        <w:rPr>
          <w:rFonts w:cs="Arial"/>
          <w:sz w:val="20"/>
          <w:szCs w:val="20"/>
          <w:u w:val="single"/>
        </w:rPr>
        <w:t>Methods:</w:t>
      </w:r>
      <w:r w:rsidRPr="00F47BE6">
        <w:rPr>
          <w:rFonts w:cs="Arial"/>
          <w:sz w:val="20"/>
          <w:szCs w:val="20"/>
        </w:rPr>
        <w:t xml:space="preserve"> The top 50 United States ophthalmology residency programs were determined by the Doximity Residency Navigator 2026-2027 ranking. A comprehensive review of publicly available data listed on each program's website was performed by two independent reviewers (IK, AA). Community outreach was defined as local efforts to serve a population outside of patients the residents would care for as part of their clinical duties. Only permanently accessible content (excluding search-only results and news/event postings) was included.</w:t>
      </w:r>
      <w:r w:rsidRPr="00F47BE6">
        <w:rPr>
          <w:rFonts w:cs="Arial"/>
          <w:sz w:val="20"/>
          <w:szCs w:val="20"/>
        </w:rPr>
        <w:br/>
      </w:r>
      <w:r w:rsidRPr="00751DA1">
        <w:rPr>
          <w:rFonts w:cs="Arial"/>
          <w:sz w:val="20"/>
          <w:szCs w:val="20"/>
          <w:u w:val="single"/>
        </w:rPr>
        <w:t>Results:</w:t>
      </w:r>
      <w:r w:rsidRPr="00F47BE6">
        <w:rPr>
          <w:rFonts w:cs="Arial"/>
          <w:sz w:val="20"/>
          <w:szCs w:val="20"/>
        </w:rPr>
        <w:t xml:space="preserve"> Twenty-seven (54%) programs had community outreach somewhere on their department website, of which 23 (46%) programs provided specific details. Only 13 (26%) programs had outreach information accessible on the residency program-specific pages. Outreach activities included (8, 16%) mobile clinics, (20, 40%) community screening, and (6, 12%) teleophthalmology. Fifteen programs (30%) had community partnerships (i.e. Lions Club), 15 (30%) involved residents, and 15 (30%) involved medical students. Eight (16%) programs had disease-specific outreach (diabetic retinopathy, glaucoma, cataracts, low vision, and keratoconus), and five (10%) targeted specific communities (Hispanic, Navajo, Marshallese, and Amish and Old Order Mennonite). Eight (16%) programs targeted children, 20 (40%) targeted underserved, underinsured, or uninsured populations, and five (10%) included patient navigators. </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A little more than half of the top 50 U.S. ophthalmology residency programs publicize community engagement, with only about a quarter of information discoverable through the residency page. Fragmented, inconsistent information available to applicants can affect residency program alignment with applicants’ priorities. Greater standardization of publicly available community engagement initiatives of ophthalmology residency programs is warranted.</w:t>
      </w:r>
    </w:p>
    <w:p w14:paraId="32C6492D" w14:textId="77777777" w:rsidR="006104A9" w:rsidRDefault="006104A9" w:rsidP="00D36E11">
      <w:pPr>
        <w:spacing w:after="0" w:line="240" w:lineRule="auto"/>
        <w:rPr>
          <w:rFonts w:cs="Arial"/>
          <w:b/>
          <w:sz w:val="20"/>
          <w:szCs w:val="20"/>
        </w:rPr>
      </w:pPr>
    </w:p>
    <w:p w14:paraId="1CB760C0" w14:textId="46FB53AF"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 xml:space="preserve">Ifrah S. Khurram, Ahmed </w:t>
      </w:r>
      <w:proofErr w:type="spellStart"/>
      <w:r w:rsidR="007E38C3" w:rsidRPr="00F47BE6">
        <w:rPr>
          <w:rFonts w:cs="Arial"/>
          <w:sz w:val="20"/>
          <w:szCs w:val="20"/>
        </w:rPr>
        <w:t>Ahmed</w:t>
      </w:r>
      <w:proofErr w:type="spellEnd"/>
      <w:r w:rsidR="007E38C3" w:rsidRPr="00F47BE6">
        <w:rPr>
          <w:rFonts w:cs="Arial"/>
          <w:sz w:val="20"/>
          <w:szCs w:val="20"/>
        </w:rPr>
        <w:t xml:space="preserve">, Travis K. Redd, Deidre St. Peter, Emily D. Cole  </w:t>
      </w:r>
      <w:r w:rsidR="007E38C3" w:rsidRPr="00F47BE6">
        <w:rPr>
          <w:rFonts w:cs="Arial"/>
          <w:sz w:val="20"/>
          <w:szCs w:val="20"/>
        </w:rPr>
        <w:br/>
      </w:r>
      <w:r w:rsidR="007E38C3" w:rsidRPr="00F47BE6">
        <w:rPr>
          <w:rFonts w:cs="Arial"/>
          <w:sz w:val="20"/>
          <w:szCs w:val="20"/>
        </w:rPr>
        <w:br/>
        <w:t>University of Colorado Sue Anschutz-Rodgers Eye Center Aurora, CO</w:t>
      </w:r>
    </w:p>
    <w:p w14:paraId="42077925" w14:textId="77777777" w:rsidR="00002CD7" w:rsidRDefault="00002CD7" w:rsidP="00D36E11">
      <w:pPr>
        <w:spacing w:after="0" w:line="240" w:lineRule="auto"/>
        <w:rPr>
          <w:rFonts w:cs="Arial"/>
          <w:sz w:val="20"/>
          <w:szCs w:val="20"/>
        </w:rPr>
      </w:pPr>
    </w:p>
    <w:p w14:paraId="0FDE2890" w14:textId="77777777" w:rsidR="006104A9" w:rsidRPr="00F47BE6" w:rsidRDefault="006104A9" w:rsidP="00D36E11">
      <w:pPr>
        <w:spacing w:after="0" w:line="240" w:lineRule="auto"/>
        <w:rPr>
          <w:rFonts w:cs="Arial"/>
          <w:sz w:val="20"/>
          <w:szCs w:val="20"/>
        </w:rPr>
      </w:pPr>
    </w:p>
    <w:p w14:paraId="64A673B3" w14:textId="5E4B0E1B" w:rsidR="00002CD7" w:rsidRPr="00F83438" w:rsidRDefault="00D7213C" w:rsidP="00D36E11">
      <w:pPr>
        <w:spacing w:after="0" w:line="240" w:lineRule="auto"/>
        <w:rPr>
          <w:rFonts w:cs="Arial"/>
          <w:sz w:val="20"/>
          <w:szCs w:val="20"/>
          <w:u w:val="single"/>
        </w:rPr>
      </w:pPr>
      <w:r>
        <w:rPr>
          <w:rFonts w:cs="Arial"/>
          <w:b/>
          <w:sz w:val="20"/>
          <w:szCs w:val="20"/>
          <w:u w:val="single"/>
        </w:rPr>
        <w:t xml:space="preserve">52. </w:t>
      </w:r>
      <w:r w:rsidR="007E38C3" w:rsidRPr="00F83438">
        <w:rPr>
          <w:rFonts w:cs="Arial"/>
          <w:b/>
          <w:sz w:val="20"/>
          <w:szCs w:val="20"/>
          <w:u w:val="single"/>
        </w:rPr>
        <w:t>Adapting AIM-HI implementation strategies based upon participant feedback to rapidly integrate evidence into practice</w:t>
      </w:r>
    </w:p>
    <w:p w14:paraId="16655004" w14:textId="77777777" w:rsidR="00F83438" w:rsidRDefault="00F83438" w:rsidP="00D36E11">
      <w:pPr>
        <w:spacing w:after="0" w:line="240" w:lineRule="auto"/>
        <w:rPr>
          <w:rFonts w:cs="Arial"/>
          <w:b/>
          <w:sz w:val="20"/>
          <w:szCs w:val="20"/>
        </w:rPr>
      </w:pPr>
    </w:p>
    <w:p w14:paraId="60B1761D" w14:textId="262FE4B2"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Heidi Sjoberg, VA</w:t>
      </w:r>
    </w:p>
    <w:p w14:paraId="7BF6F076" w14:textId="77777777" w:rsidR="00F83438" w:rsidRDefault="00F83438" w:rsidP="00D36E11">
      <w:pPr>
        <w:spacing w:after="0" w:line="240" w:lineRule="auto"/>
        <w:rPr>
          <w:rFonts w:cs="Arial"/>
          <w:sz w:val="20"/>
          <w:szCs w:val="20"/>
        </w:rPr>
      </w:pPr>
    </w:p>
    <w:p w14:paraId="130D1972" w14:textId="42681A25" w:rsidR="00002CD7" w:rsidRPr="00F47BE6" w:rsidRDefault="007E38C3" w:rsidP="00D36E11">
      <w:pPr>
        <w:spacing w:after="0" w:line="240" w:lineRule="auto"/>
        <w:rPr>
          <w:rFonts w:cs="Arial"/>
          <w:sz w:val="20"/>
          <w:szCs w:val="20"/>
        </w:rPr>
      </w:pPr>
      <w:r w:rsidRPr="00F83438">
        <w:rPr>
          <w:rFonts w:cs="Arial"/>
          <w:sz w:val="20"/>
          <w:szCs w:val="20"/>
          <w:u w:val="single"/>
        </w:rPr>
        <w:t>Background</w:t>
      </w:r>
      <w:r w:rsidR="00F83438" w:rsidRPr="00F83438">
        <w:rPr>
          <w:rFonts w:cs="Arial"/>
          <w:sz w:val="20"/>
          <w:szCs w:val="20"/>
          <w:u w:val="single"/>
        </w:rPr>
        <w:t>:</w:t>
      </w:r>
      <w:r w:rsidR="00F83438">
        <w:rPr>
          <w:rFonts w:cs="Arial"/>
          <w:sz w:val="20"/>
          <w:szCs w:val="20"/>
        </w:rPr>
        <w:t xml:space="preserve"> </w:t>
      </w:r>
      <w:r w:rsidRPr="00F47BE6">
        <w:rPr>
          <w:rFonts w:cs="Arial"/>
          <w:sz w:val="20"/>
          <w:szCs w:val="20"/>
        </w:rPr>
        <w:t xml:space="preserve">The Acute Inpatient Medicine High Reliability, Learning Environment and Workforce Development Initiative (AIM-HI) deployed three implementation strategies—behavioral nudges, learning collaboratives, and leadership coaching—to integrate the evidence-based Relational Playbook across 17 rural Veterans Health Administrations, targeting clinician burnout, turnover, and satisfaction. Strategies were iteratively adapted to enhance adoption. We describe key adaptations to strategies and their impact on implementation outcomes. </w:t>
      </w:r>
      <w:r w:rsidRPr="00F47BE6">
        <w:rPr>
          <w:rFonts w:cs="Arial"/>
          <w:sz w:val="20"/>
          <w:szCs w:val="20"/>
        </w:rPr>
        <w:br/>
      </w:r>
      <w:r w:rsidRPr="00F83438">
        <w:rPr>
          <w:rFonts w:cs="Arial"/>
          <w:sz w:val="20"/>
          <w:szCs w:val="20"/>
          <w:u w:val="single"/>
        </w:rPr>
        <w:t>Methods</w:t>
      </w:r>
      <w:r w:rsidR="00F83438" w:rsidRPr="00F83438">
        <w:rPr>
          <w:rFonts w:cs="Arial"/>
          <w:sz w:val="20"/>
          <w:szCs w:val="20"/>
          <w:u w:val="single"/>
        </w:rPr>
        <w:t>:</w:t>
      </w:r>
      <w:r w:rsidRPr="00F47BE6">
        <w:rPr>
          <w:rFonts w:cs="Arial"/>
          <w:sz w:val="20"/>
          <w:szCs w:val="20"/>
        </w:rPr>
        <w:t xml:space="preserve"> From 2023–2026, three cohorts each completed a six-month AIM-HI implementation phase. Using a rapid Plan-Do-Study-Act process, we made and evaluated adaptations between cohorts, tracking adaptations in an Excel matrix guided by Framework for Reporting Adaptations and Modifications to Evidence-based Implementation Strategies. A mixed-methods approach monitored participants’ engagement and experience: (1) end-of-implementation qualitative interviews; (2) nudge surveys—weekly in Year 1, biweekly in Year 2; and (3) periodic check-ins. Qualitative data were analyzed using a rapid matrix approach to identify adoption-related themes. Nudge survey response rates were calculated by cohort to characterize engagement variation across years. These data informed adaptations. Adaptation impact was assessed through interview data and survey completion rates. </w:t>
      </w:r>
      <w:r w:rsidRPr="00F47BE6">
        <w:rPr>
          <w:rFonts w:cs="Arial"/>
          <w:sz w:val="20"/>
          <w:szCs w:val="20"/>
        </w:rPr>
        <w:br/>
      </w:r>
      <w:r w:rsidRPr="00F83438">
        <w:rPr>
          <w:rFonts w:cs="Arial"/>
          <w:sz w:val="20"/>
          <w:szCs w:val="20"/>
          <w:u w:val="single"/>
        </w:rPr>
        <w:t>Results</w:t>
      </w:r>
      <w:r w:rsidR="00F83438" w:rsidRPr="00F83438">
        <w:rPr>
          <w:rFonts w:cs="Arial"/>
          <w:sz w:val="20"/>
          <w:szCs w:val="20"/>
          <w:u w:val="single"/>
        </w:rPr>
        <w:t>:</w:t>
      </w:r>
      <w:r w:rsidRPr="00F47BE6">
        <w:rPr>
          <w:rFonts w:cs="Arial"/>
          <w:sz w:val="20"/>
          <w:szCs w:val="20"/>
        </w:rPr>
        <w:t xml:space="preserve"> Participants found weekly nudge surveys (Year 1) too frequent, but reported the surveys prompted strategy development for implementing Playbook interventions. Learning collaboratives were described as informative and helpful for generating implementation ideas; however, participants in Years 1–2 reported difficulty attending due to time constraints. In response, nudge survey frequency was reduced to biweekly in Year 2, corresponding with 32% increase in average response rates (17% Year 1 to 49% Year 3). To improve access, learning collaborative offerings increased from one to two monthly sessions in Year 3, corresponding with an average attendance increase of 28% (30% Year 1 to 58% Year 3). </w:t>
      </w:r>
      <w:r w:rsidRPr="00F47BE6">
        <w:rPr>
          <w:rFonts w:cs="Arial"/>
          <w:sz w:val="20"/>
          <w:szCs w:val="20"/>
        </w:rPr>
        <w:br/>
      </w:r>
      <w:r w:rsidRPr="00F83438">
        <w:rPr>
          <w:rFonts w:cs="Arial"/>
          <w:sz w:val="20"/>
          <w:szCs w:val="20"/>
          <w:u w:val="single"/>
        </w:rPr>
        <w:t>Conclusions</w:t>
      </w:r>
      <w:r w:rsidR="00F83438" w:rsidRPr="00F83438">
        <w:rPr>
          <w:rFonts w:cs="Arial"/>
          <w:sz w:val="20"/>
          <w:szCs w:val="20"/>
          <w:u w:val="single"/>
        </w:rPr>
        <w:t>:</w:t>
      </w:r>
      <w:r w:rsidR="00F83438">
        <w:rPr>
          <w:rFonts w:cs="Arial"/>
          <w:sz w:val="20"/>
          <w:szCs w:val="20"/>
        </w:rPr>
        <w:t xml:space="preserve"> </w:t>
      </w:r>
      <w:r w:rsidRPr="00F47BE6">
        <w:rPr>
          <w:rFonts w:cs="Arial"/>
          <w:sz w:val="20"/>
          <w:szCs w:val="20"/>
        </w:rPr>
        <w:t>Ongoing participant engagement to inform adaptations, paired with impact assessment, is critical to program adoption and identifying when further adjustments are warranted.</w:t>
      </w:r>
    </w:p>
    <w:p w14:paraId="3927515B" w14:textId="77777777" w:rsidR="00F83438" w:rsidRDefault="00F83438" w:rsidP="00D36E11">
      <w:pPr>
        <w:spacing w:after="0" w:line="240" w:lineRule="auto"/>
        <w:rPr>
          <w:rFonts w:cs="Arial"/>
          <w:b/>
          <w:sz w:val="20"/>
          <w:szCs w:val="20"/>
        </w:rPr>
      </w:pPr>
    </w:p>
    <w:p w14:paraId="36ED9938" w14:textId="6153A295" w:rsidR="00F83438"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Heidi Sjoberg, Chelsea Leonard, Brigid Connelly, Robert Klocko, Amy Ladebue, Soumya Subramaniam, Heather M. Gilmartin</w:t>
      </w:r>
      <w:r w:rsidR="007E38C3" w:rsidRPr="00F47BE6">
        <w:rPr>
          <w:rFonts w:cs="Arial"/>
          <w:sz w:val="20"/>
          <w:szCs w:val="20"/>
        </w:rPr>
        <w:br/>
      </w:r>
    </w:p>
    <w:p w14:paraId="7895D4E5" w14:textId="124B7A5D" w:rsidR="00002CD7" w:rsidRPr="00F47BE6" w:rsidRDefault="007E38C3" w:rsidP="00D36E11">
      <w:pPr>
        <w:spacing w:after="0" w:line="240" w:lineRule="auto"/>
        <w:rPr>
          <w:rFonts w:cs="Arial"/>
          <w:sz w:val="20"/>
          <w:szCs w:val="20"/>
        </w:rPr>
      </w:pPr>
      <w:r w:rsidRPr="00F47BE6">
        <w:rPr>
          <w:rFonts w:cs="Arial"/>
          <w:sz w:val="20"/>
          <w:szCs w:val="20"/>
        </w:rPr>
        <w:t>Eastern Colorado Health Care System, Seattle-Denver Center of Innovation for Veteran-Centered and Value Driven Care</w:t>
      </w:r>
      <w:r w:rsidRPr="00F47BE6">
        <w:rPr>
          <w:rFonts w:cs="Arial"/>
          <w:sz w:val="20"/>
          <w:szCs w:val="20"/>
        </w:rPr>
        <w:br/>
      </w:r>
    </w:p>
    <w:p w14:paraId="27155505" w14:textId="77777777" w:rsidR="00002CD7" w:rsidRPr="00F47BE6" w:rsidRDefault="00002CD7" w:rsidP="00D36E11">
      <w:pPr>
        <w:spacing w:after="0" w:line="240" w:lineRule="auto"/>
        <w:rPr>
          <w:rFonts w:cs="Arial"/>
          <w:sz w:val="20"/>
          <w:szCs w:val="20"/>
        </w:rPr>
      </w:pPr>
    </w:p>
    <w:p w14:paraId="5BCC78FC" w14:textId="7902EB2E" w:rsidR="00002CD7" w:rsidRPr="00751DA1" w:rsidRDefault="00C309EA" w:rsidP="00D36E11">
      <w:pPr>
        <w:spacing w:after="0" w:line="240" w:lineRule="auto"/>
        <w:rPr>
          <w:rFonts w:cs="Arial"/>
          <w:sz w:val="20"/>
          <w:szCs w:val="20"/>
          <w:u w:val="single"/>
        </w:rPr>
      </w:pPr>
      <w:r>
        <w:rPr>
          <w:rFonts w:cs="Arial"/>
          <w:b/>
          <w:sz w:val="20"/>
          <w:szCs w:val="20"/>
          <w:u w:val="single"/>
        </w:rPr>
        <w:t xml:space="preserve">53. </w:t>
      </w:r>
      <w:r w:rsidR="007E38C3" w:rsidRPr="00751DA1">
        <w:rPr>
          <w:rFonts w:cs="Arial"/>
          <w:b/>
          <w:sz w:val="20"/>
          <w:szCs w:val="20"/>
          <w:u w:val="single"/>
        </w:rPr>
        <w:t>Applying Recruitment Adaptations within a Federally Qualified Health Center (FQHC) for Children with Acute Otitis Media (AOM)</w:t>
      </w:r>
    </w:p>
    <w:p w14:paraId="42B0027A" w14:textId="77777777" w:rsidR="007A7813" w:rsidRDefault="007A7813" w:rsidP="00D36E11">
      <w:pPr>
        <w:spacing w:after="0" w:line="240" w:lineRule="auto"/>
        <w:rPr>
          <w:rFonts w:cs="Arial"/>
          <w:b/>
          <w:sz w:val="20"/>
          <w:szCs w:val="20"/>
        </w:rPr>
      </w:pPr>
    </w:p>
    <w:p w14:paraId="4E4A3A1B" w14:textId="5F0B5D96"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 xml:space="preserve">Ashley Castro, </w:t>
      </w:r>
      <w:r w:rsidR="009704B4">
        <w:rPr>
          <w:rFonts w:cs="Arial"/>
          <w:sz w:val="20"/>
          <w:szCs w:val="20"/>
        </w:rPr>
        <w:t>Denver Health</w:t>
      </w:r>
    </w:p>
    <w:p w14:paraId="5D8D5FEC" w14:textId="77777777" w:rsidR="007A7813" w:rsidRDefault="007A7813" w:rsidP="00D36E11">
      <w:pPr>
        <w:spacing w:after="0" w:line="240" w:lineRule="auto"/>
        <w:rPr>
          <w:rFonts w:cs="Arial"/>
          <w:b/>
          <w:bCs/>
          <w:sz w:val="20"/>
          <w:szCs w:val="20"/>
        </w:rPr>
      </w:pPr>
    </w:p>
    <w:p w14:paraId="10A4007E" w14:textId="4037762B" w:rsidR="00002CD7" w:rsidRPr="00F47BE6" w:rsidRDefault="00751DA1" w:rsidP="00D36E11">
      <w:pPr>
        <w:spacing w:after="0" w:line="240" w:lineRule="auto"/>
        <w:rPr>
          <w:rFonts w:cs="Arial"/>
          <w:sz w:val="20"/>
          <w:szCs w:val="20"/>
        </w:rPr>
      </w:pPr>
      <w:r w:rsidRPr="00803F11">
        <w:rPr>
          <w:rFonts w:cs="Arial"/>
          <w:sz w:val="20"/>
          <w:szCs w:val="20"/>
          <w:u w:val="single"/>
        </w:rPr>
        <w:t>Background:</w:t>
      </w:r>
      <w:r>
        <w:rPr>
          <w:rFonts w:cs="Arial"/>
          <w:sz w:val="20"/>
          <w:szCs w:val="20"/>
        </w:rPr>
        <w:t xml:space="preserve"> </w:t>
      </w:r>
      <w:r w:rsidR="007E38C3" w:rsidRPr="00F47BE6">
        <w:rPr>
          <w:rFonts w:cs="Arial"/>
          <w:sz w:val="20"/>
          <w:szCs w:val="20"/>
        </w:rPr>
        <w:t>Federally Qualified Health Centers (FQHCs) serve as a necessary safety net for underrepresented populations. Many of these populations also have limited experience with research. Study teams strive to track and adapt their protocols to meet the needs of their study population. This study highlights the dynamic changes Denver Health’s team implemented to increase engagement and retention for pediatric patients with acute otitis media (AOM).</w:t>
      </w:r>
      <w:r w:rsidR="007E38C3" w:rsidRPr="00F47BE6">
        <w:rPr>
          <w:rFonts w:cs="Arial"/>
          <w:sz w:val="20"/>
          <w:szCs w:val="20"/>
        </w:rPr>
        <w:br/>
      </w:r>
      <w:r w:rsidR="007E38C3" w:rsidRPr="00751DA1">
        <w:rPr>
          <w:rFonts w:cs="Arial"/>
          <w:sz w:val="20"/>
          <w:szCs w:val="20"/>
          <w:u w:val="single"/>
        </w:rPr>
        <w:t>Methods:</w:t>
      </w:r>
      <w:r w:rsidR="007E38C3" w:rsidRPr="00F47BE6">
        <w:rPr>
          <w:rFonts w:cs="Arial"/>
          <w:sz w:val="20"/>
          <w:szCs w:val="20"/>
        </w:rPr>
        <w:t xml:space="preserve"> Based on protocol inclusion and exclusion criteria, study teams recruited parents/caregivers of children with a recent diagnosis of acute otitis media. The research team tracked recruitment and retention barriers and successes to systematically create adaptations and adjust their approach. The main themes relayed from patients involved a lack of trust and time to complete their research requirements. Based on this, recruitment adaptations included: 1) expanding phone calls to evening and weekend hours, 2) increasing the follow-up survey completion window from 3–4 days 3) increasing contact attempts from 4 to 7, 4) proactive patient compensation, and 5) multimodal communication methods via email, text messaging, phone calls, and EPIC chat.</w:t>
      </w:r>
      <w:r w:rsidR="007E38C3" w:rsidRPr="00F47BE6">
        <w:rPr>
          <w:rFonts w:cs="Arial"/>
          <w:sz w:val="20"/>
          <w:szCs w:val="20"/>
        </w:rPr>
        <w:br/>
      </w:r>
      <w:r w:rsidR="007E38C3" w:rsidRPr="00751DA1">
        <w:rPr>
          <w:rFonts w:cs="Arial"/>
          <w:sz w:val="20"/>
          <w:szCs w:val="20"/>
          <w:u w:val="single"/>
        </w:rPr>
        <w:t>Results:</w:t>
      </w:r>
      <w:r w:rsidR="007E38C3" w:rsidRPr="00F47BE6">
        <w:rPr>
          <w:rFonts w:cs="Arial"/>
          <w:sz w:val="20"/>
          <w:szCs w:val="20"/>
        </w:rPr>
        <w:t xml:space="preserve"> Throughout two years, Denver Health’s research team enrolled 205 patients, with 29 lost to follow-up. Of the total enrollment, 73 participants were Spanish-speaking. The greatest acceleration of enrollment occurred from January–June 2026, with a total of 121 participants enrolled and an average attrition rate of 13.83% during this time frame. Four adaptations (1, 2, 3, and 5) were implemented during this period, with evening and weekend hours associated with the largest increase in enrollment.</w:t>
      </w:r>
      <w:r w:rsidR="007E38C3" w:rsidRPr="00F47BE6">
        <w:rPr>
          <w:rFonts w:cs="Arial"/>
          <w:sz w:val="20"/>
          <w:szCs w:val="20"/>
        </w:rPr>
        <w:br/>
      </w:r>
      <w:r w:rsidR="007E38C3" w:rsidRPr="00751DA1">
        <w:rPr>
          <w:rFonts w:cs="Arial"/>
          <w:sz w:val="20"/>
          <w:szCs w:val="20"/>
          <w:u w:val="single"/>
        </w:rPr>
        <w:t>Conclusions:</w:t>
      </w:r>
      <w:r w:rsidR="007E38C3" w:rsidRPr="00F47BE6">
        <w:rPr>
          <w:rFonts w:cs="Arial"/>
          <w:sz w:val="20"/>
          <w:szCs w:val="20"/>
        </w:rPr>
        <w:t xml:space="preserve"> Outlining the adaptations used to reach families can serve other sites facing similar barriers to recruitment and retention of diverse patient populations. Utilizing evening and weekend hours created flexibility for families and was associated with the largest increase in enrollment. Strategizing with the study team and patients can provide a better understanding of the barriers FQHC patients face during research participation.</w:t>
      </w:r>
    </w:p>
    <w:p w14:paraId="5A1B523E" w14:textId="77777777" w:rsidR="007A7813" w:rsidRDefault="007A7813" w:rsidP="00D36E11">
      <w:pPr>
        <w:spacing w:after="0" w:line="240" w:lineRule="auto"/>
        <w:rPr>
          <w:rFonts w:cs="Arial"/>
          <w:b/>
          <w:sz w:val="20"/>
          <w:szCs w:val="20"/>
        </w:rPr>
      </w:pPr>
    </w:p>
    <w:p w14:paraId="7EB39DB6" w14:textId="13A5C8F6"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Sara Gardon, MS</w:t>
      </w:r>
      <w:r w:rsidR="00EE72AD">
        <w:rPr>
          <w:rFonts w:cs="Arial"/>
          <w:sz w:val="20"/>
          <w:szCs w:val="20"/>
        </w:rPr>
        <w:t xml:space="preserve">, </w:t>
      </w:r>
      <w:r w:rsidR="007E38C3" w:rsidRPr="00F47BE6">
        <w:rPr>
          <w:rFonts w:cs="Arial"/>
          <w:sz w:val="20"/>
          <w:szCs w:val="20"/>
        </w:rPr>
        <w:t>Tim Jenkins, MD</w:t>
      </w:r>
      <w:r w:rsidR="00EE72AD">
        <w:rPr>
          <w:rFonts w:cs="Arial"/>
          <w:sz w:val="20"/>
          <w:szCs w:val="20"/>
        </w:rPr>
        <w:t xml:space="preserve">, </w:t>
      </w:r>
      <w:r w:rsidR="007E38C3" w:rsidRPr="00F47BE6">
        <w:rPr>
          <w:rFonts w:cs="Arial"/>
          <w:sz w:val="20"/>
          <w:szCs w:val="20"/>
        </w:rPr>
        <w:t>Leisha Anderson, MD</w:t>
      </w:r>
      <w:r w:rsidR="00EE72AD">
        <w:rPr>
          <w:rFonts w:cs="Arial"/>
          <w:sz w:val="20"/>
          <w:szCs w:val="20"/>
        </w:rPr>
        <w:t xml:space="preserve">, </w:t>
      </w:r>
      <w:r w:rsidR="007E38C3" w:rsidRPr="00F47BE6">
        <w:rPr>
          <w:rFonts w:cs="Arial"/>
          <w:sz w:val="20"/>
          <w:szCs w:val="20"/>
        </w:rPr>
        <w:t>Debbie Rinehart, PhD</w:t>
      </w:r>
      <w:r w:rsidR="00EE72AD">
        <w:rPr>
          <w:rFonts w:cs="Arial"/>
          <w:sz w:val="20"/>
          <w:szCs w:val="20"/>
        </w:rPr>
        <w:t xml:space="preserve">, </w:t>
      </w:r>
      <w:r w:rsidR="007E38C3" w:rsidRPr="00F47BE6">
        <w:rPr>
          <w:rFonts w:cs="Arial"/>
          <w:sz w:val="20"/>
          <w:szCs w:val="20"/>
        </w:rPr>
        <w:t>Ashley Castro, MPH</w:t>
      </w:r>
      <w:r w:rsidR="00EE72AD">
        <w:rPr>
          <w:rFonts w:cs="Arial"/>
          <w:sz w:val="20"/>
          <w:szCs w:val="20"/>
        </w:rPr>
        <w:t xml:space="preserve">, </w:t>
      </w:r>
      <w:r w:rsidR="007E38C3" w:rsidRPr="00F47BE6">
        <w:rPr>
          <w:rFonts w:cs="Arial"/>
          <w:sz w:val="20"/>
          <w:szCs w:val="20"/>
        </w:rPr>
        <w:t>Silvia Ragnurath, MBA</w:t>
      </w:r>
      <w:r w:rsidR="00EE72AD">
        <w:rPr>
          <w:rFonts w:cs="Arial"/>
          <w:sz w:val="20"/>
          <w:szCs w:val="20"/>
        </w:rPr>
        <w:t xml:space="preserve">, </w:t>
      </w:r>
      <w:r w:rsidR="007E38C3" w:rsidRPr="00F47BE6">
        <w:rPr>
          <w:rFonts w:cs="Arial"/>
          <w:sz w:val="20"/>
          <w:szCs w:val="20"/>
        </w:rPr>
        <w:t>Holly Frost, MD</w:t>
      </w:r>
    </w:p>
    <w:p w14:paraId="4BB65B4F" w14:textId="77777777" w:rsidR="00002CD7" w:rsidRDefault="00002CD7" w:rsidP="00D36E11">
      <w:pPr>
        <w:spacing w:after="0" w:line="240" w:lineRule="auto"/>
        <w:rPr>
          <w:rFonts w:cs="Arial"/>
          <w:sz w:val="20"/>
          <w:szCs w:val="20"/>
        </w:rPr>
      </w:pPr>
    </w:p>
    <w:p w14:paraId="5691DF67" w14:textId="77777777" w:rsidR="007A7813" w:rsidRPr="00F47BE6" w:rsidRDefault="007A7813" w:rsidP="00D36E11">
      <w:pPr>
        <w:spacing w:after="0" w:line="240" w:lineRule="auto"/>
        <w:rPr>
          <w:rFonts w:cs="Arial"/>
          <w:sz w:val="20"/>
          <w:szCs w:val="20"/>
        </w:rPr>
      </w:pPr>
    </w:p>
    <w:p w14:paraId="19749577" w14:textId="3093FB43" w:rsidR="00002CD7" w:rsidRPr="00751DA1" w:rsidRDefault="009F0C83" w:rsidP="00D36E11">
      <w:pPr>
        <w:spacing w:after="0" w:line="240" w:lineRule="auto"/>
        <w:rPr>
          <w:rFonts w:cs="Arial"/>
          <w:sz w:val="20"/>
          <w:szCs w:val="20"/>
          <w:u w:val="single"/>
        </w:rPr>
      </w:pPr>
      <w:r>
        <w:rPr>
          <w:rFonts w:cs="Arial"/>
          <w:b/>
          <w:sz w:val="20"/>
          <w:szCs w:val="20"/>
          <w:u w:val="single"/>
        </w:rPr>
        <w:t xml:space="preserve">54. </w:t>
      </w:r>
      <w:r w:rsidR="007E38C3" w:rsidRPr="00751DA1">
        <w:rPr>
          <w:rFonts w:cs="Arial"/>
          <w:b/>
          <w:sz w:val="20"/>
          <w:szCs w:val="20"/>
          <w:u w:val="single"/>
        </w:rPr>
        <w:t>Using PRISM to Guide Musculoskeletal Injury Prevention Course Development in United States Marine Corps (USMC) Infantry Training</w:t>
      </w:r>
    </w:p>
    <w:p w14:paraId="3C0E5CCD" w14:textId="77777777" w:rsidR="007A7813" w:rsidRDefault="007A7813" w:rsidP="00D36E11">
      <w:pPr>
        <w:spacing w:after="0" w:line="240" w:lineRule="auto"/>
        <w:rPr>
          <w:rFonts w:cs="Arial"/>
          <w:b/>
          <w:sz w:val="20"/>
          <w:szCs w:val="20"/>
        </w:rPr>
      </w:pPr>
    </w:p>
    <w:p w14:paraId="2896AF7A" w14:textId="730FB136"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Sarah de la Motte, University of Colorado School of Medicine</w:t>
      </w:r>
    </w:p>
    <w:p w14:paraId="58D07D74" w14:textId="77777777" w:rsidR="007A7813" w:rsidRDefault="007A7813" w:rsidP="00D36E11">
      <w:pPr>
        <w:spacing w:after="0" w:line="240" w:lineRule="auto"/>
        <w:rPr>
          <w:rFonts w:cs="Arial"/>
          <w:b/>
          <w:bCs/>
          <w:sz w:val="20"/>
          <w:szCs w:val="20"/>
        </w:rPr>
      </w:pPr>
    </w:p>
    <w:p w14:paraId="1ACDD9F9" w14:textId="0E0B0BCD" w:rsidR="00A83530"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We used PRISM to update the design and delivery planning for a required musculoskeletal injury (MSK-I) prevention course (PC) as part of a multi-layer MSK-I prevention strategy during USMC infantry training. </w:t>
      </w:r>
      <w:r w:rsidRPr="00751DA1">
        <w:rPr>
          <w:rFonts w:cs="Arial"/>
          <w:sz w:val="20"/>
          <w:szCs w:val="20"/>
          <w:u w:val="single"/>
        </w:rPr>
        <w:t>Methods:</w:t>
      </w:r>
      <w:r w:rsidRPr="00F47BE6">
        <w:rPr>
          <w:rFonts w:cs="Arial"/>
          <w:sz w:val="20"/>
          <w:szCs w:val="20"/>
        </w:rPr>
        <w:t xml:space="preserve"> A research team at the USMC School of Infantry-West (SOI-W) observed multiple iterations of the current MSK-I PC and held both formal focus groups and informal discussions to identify PC strengths and weaknesses, potential barriers to PC implementation, as well as strategies to improve PC satisfaction and overcome noted barriers to PC delivery. Within PRISM’s Recipient, Intervention, Infrastructure and External Environment domains, SOI-W personnel and the research team identified contextual factors to consider during the MSK-I PC re-design and delivery.</w:t>
      </w:r>
    </w:p>
    <w:p w14:paraId="22BAC0E1" w14:textId="77777777" w:rsidR="00A83530" w:rsidRDefault="007E38C3" w:rsidP="00D36E11">
      <w:pPr>
        <w:spacing w:after="0" w:line="240" w:lineRule="auto"/>
        <w:rPr>
          <w:rFonts w:cs="Arial"/>
          <w:sz w:val="20"/>
          <w:szCs w:val="20"/>
        </w:rPr>
      </w:pPr>
      <w:r w:rsidRPr="00751DA1">
        <w:rPr>
          <w:rFonts w:cs="Arial"/>
          <w:sz w:val="20"/>
          <w:szCs w:val="20"/>
          <w:u w:val="single"/>
        </w:rPr>
        <w:t>Results:</w:t>
      </w:r>
      <w:r w:rsidRPr="00F47BE6">
        <w:rPr>
          <w:rFonts w:cs="Arial"/>
          <w:sz w:val="20"/>
          <w:szCs w:val="20"/>
        </w:rPr>
        <w:t xml:space="preserve"> Infantry trainees, instructors, command staff, and human performance personnel (HPP) were identified as Recipients of the re-design and delivery of the Intervention (i.e. MSK-I PC). Familiarity with MSK-I PC content and preferred learning styles were identified as recipient characteristics; instructor- and HPP-specific characteristics also included preferred teaching styles. Organizational characteristics were staff availability and ability to schedule the PC within existing training limitations. Organizational and recipient perspectives regarding the Intervention included understanding the PC burden and potential delivery barriers. Determining the implementation and sustainability Infrastructure included identifying the level of support needed for recipients to implement the updated PC, identifying PC content and delivery adaptations, and planning for PC sustainability beyond the research. Competing priorities within the SOI-W External Environment (i.e. operational readiness) were identified as potential barriers to PC implementation and sustainability. Additional timepoints and locations to implement the PC were identified, allowing for both time and staff adaptability to accommodate PC re-prioritization.</w:t>
      </w:r>
    </w:p>
    <w:p w14:paraId="37D6AC78" w14:textId="5623492A" w:rsidR="00002CD7" w:rsidRPr="00F47BE6" w:rsidRDefault="007E38C3" w:rsidP="00D36E11">
      <w:pPr>
        <w:spacing w:after="0" w:line="240" w:lineRule="auto"/>
        <w:rPr>
          <w:rFonts w:cs="Arial"/>
          <w:sz w:val="20"/>
          <w:szCs w:val="20"/>
        </w:rPr>
      </w:pPr>
      <w:r w:rsidRPr="00751DA1">
        <w:rPr>
          <w:rFonts w:cs="Arial"/>
          <w:sz w:val="20"/>
          <w:szCs w:val="20"/>
          <w:u w:val="single"/>
        </w:rPr>
        <w:t>Conclusions:</w:t>
      </w:r>
      <w:r w:rsidRPr="00F47BE6">
        <w:rPr>
          <w:rFonts w:cs="Arial"/>
          <w:sz w:val="20"/>
          <w:szCs w:val="20"/>
        </w:rPr>
        <w:t xml:space="preserve"> PRISM guided the research team in a cyclical, military training context-specific process for the redesign and delivery planning of </w:t>
      </w:r>
      <w:proofErr w:type="gramStart"/>
      <w:r w:rsidRPr="00F47BE6">
        <w:rPr>
          <w:rFonts w:cs="Arial"/>
          <w:sz w:val="20"/>
          <w:szCs w:val="20"/>
        </w:rPr>
        <w:t>a</w:t>
      </w:r>
      <w:proofErr w:type="gramEnd"/>
      <w:r w:rsidRPr="00F47BE6">
        <w:rPr>
          <w:rFonts w:cs="Arial"/>
          <w:sz w:val="20"/>
          <w:szCs w:val="20"/>
        </w:rPr>
        <w:t xml:space="preserve"> MSK-I prevention course, with the goal of increasing implementation success.</w:t>
      </w:r>
    </w:p>
    <w:p w14:paraId="60AB17A9" w14:textId="77777777" w:rsidR="007A7813" w:rsidRDefault="007A7813" w:rsidP="00D36E11">
      <w:pPr>
        <w:spacing w:after="0" w:line="240" w:lineRule="auto"/>
        <w:rPr>
          <w:rFonts w:cs="Arial"/>
          <w:b/>
          <w:sz w:val="20"/>
          <w:szCs w:val="20"/>
        </w:rPr>
      </w:pPr>
    </w:p>
    <w:p w14:paraId="58C20CEB" w14:textId="5169BE01" w:rsidR="00933C93"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Sarah J. de la Motte, PhD, MPH, ATC</w:t>
      </w:r>
      <w:r w:rsidR="00933C93">
        <w:rPr>
          <w:rFonts w:cs="Arial"/>
          <w:sz w:val="20"/>
          <w:szCs w:val="20"/>
        </w:rPr>
        <w:t xml:space="preserve"> (</w:t>
      </w:r>
      <w:r w:rsidR="007E38C3" w:rsidRPr="00F47BE6">
        <w:rPr>
          <w:rFonts w:cs="Arial"/>
          <w:sz w:val="20"/>
          <w:szCs w:val="20"/>
        </w:rPr>
        <w:t>1</w:t>
      </w:r>
      <w:r w:rsidR="00933C93">
        <w:rPr>
          <w:rFonts w:cs="Arial"/>
          <w:sz w:val="20"/>
          <w:szCs w:val="20"/>
        </w:rPr>
        <w:t>),</w:t>
      </w:r>
      <w:r w:rsidR="007E38C3" w:rsidRPr="00F47BE6">
        <w:rPr>
          <w:rFonts w:cs="Arial"/>
          <w:sz w:val="20"/>
          <w:szCs w:val="20"/>
        </w:rPr>
        <w:t xml:space="preserve"> Carolyn E. Dartt, MEd, ATC</w:t>
      </w:r>
      <w:r w:rsidR="00933C93">
        <w:rPr>
          <w:rFonts w:cs="Arial"/>
          <w:sz w:val="20"/>
          <w:szCs w:val="20"/>
        </w:rPr>
        <w:t xml:space="preserve"> (2,3),</w:t>
      </w:r>
      <w:r w:rsidR="007E38C3" w:rsidRPr="00F47BE6">
        <w:rPr>
          <w:rFonts w:cs="Arial"/>
          <w:sz w:val="20"/>
          <w:szCs w:val="20"/>
        </w:rPr>
        <w:t xml:space="preserve"> Alexandria B. Gregory, MA</w:t>
      </w:r>
      <w:r w:rsidR="00933C93">
        <w:rPr>
          <w:rFonts w:cs="Arial"/>
          <w:sz w:val="20"/>
          <w:szCs w:val="20"/>
        </w:rPr>
        <w:t xml:space="preserve"> (2,3)</w:t>
      </w:r>
      <w:r w:rsidR="007E38C3" w:rsidRPr="00F47BE6">
        <w:rPr>
          <w:rFonts w:cs="Arial"/>
          <w:sz w:val="20"/>
          <w:szCs w:val="20"/>
        </w:rPr>
        <w:t>, Joshua Waters-Jackson, ATC, TSAC-F</w:t>
      </w:r>
      <w:r w:rsidR="00933C93">
        <w:rPr>
          <w:rFonts w:cs="Arial"/>
          <w:sz w:val="20"/>
          <w:szCs w:val="20"/>
        </w:rPr>
        <w:t xml:space="preserve"> (3)</w:t>
      </w:r>
      <w:r w:rsidR="007E38C3" w:rsidRPr="00F47BE6">
        <w:rPr>
          <w:rFonts w:cs="Arial"/>
          <w:sz w:val="20"/>
          <w:szCs w:val="20"/>
        </w:rPr>
        <w:br/>
      </w:r>
      <w:r w:rsidR="007E38C3" w:rsidRPr="00F47BE6">
        <w:rPr>
          <w:rFonts w:cs="Arial"/>
          <w:sz w:val="20"/>
          <w:szCs w:val="20"/>
        </w:rPr>
        <w:br/>
      </w:r>
      <w:r w:rsidR="00933C93">
        <w:rPr>
          <w:rFonts w:cs="Arial"/>
          <w:sz w:val="20"/>
          <w:szCs w:val="20"/>
        </w:rPr>
        <w:t>(</w:t>
      </w:r>
      <w:r w:rsidR="007E38C3" w:rsidRPr="00F47BE6">
        <w:rPr>
          <w:rFonts w:cs="Arial"/>
          <w:sz w:val="20"/>
          <w:szCs w:val="20"/>
        </w:rPr>
        <w:t>1</w:t>
      </w:r>
      <w:r w:rsidR="00933C93">
        <w:rPr>
          <w:rFonts w:cs="Arial"/>
          <w:sz w:val="20"/>
          <w:szCs w:val="20"/>
        </w:rPr>
        <w:t xml:space="preserve">) </w:t>
      </w:r>
      <w:proofErr w:type="spellStart"/>
      <w:r w:rsidR="007E38C3" w:rsidRPr="00F47BE6">
        <w:rPr>
          <w:rFonts w:cs="Arial"/>
          <w:sz w:val="20"/>
          <w:szCs w:val="20"/>
        </w:rPr>
        <w:t>MissionReady</w:t>
      </w:r>
      <w:proofErr w:type="spellEnd"/>
      <w:r w:rsidR="007E38C3" w:rsidRPr="00F47BE6">
        <w:rPr>
          <w:rFonts w:cs="Arial"/>
          <w:sz w:val="20"/>
          <w:szCs w:val="20"/>
        </w:rPr>
        <w:t xml:space="preserve"> Prevention Systems, LLC</w:t>
      </w:r>
    </w:p>
    <w:p w14:paraId="2173239C" w14:textId="4D64F6D8" w:rsidR="00933C93" w:rsidRDefault="00933C93" w:rsidP="00D36E11">
      <w:pPr>
        <w:spacing w:after="0" w:line="240" w:lineRule="auto"/>
        <w:rPr>
          <w:rFonts w:cs="Arial"/>
          <w:sz w:val="20"/>
          <w:szCs w:val="20"/>
        </w:rPr>
      </w:pPr>
      <w:r>
        <w:rPr>
          <w:rFonts w:cs="Arial"/>
          <w:sz w:val="20"/>
          <w:szCs w:val="20"/>
        </w:rPr>
        <w:t>(2) C</w:t>
      </w:r>
      <w:r w:rsidR="007E38C3" w:rsidRPr="00F47BE6">
        <w:rPr>
          <w:rFonts w:cs="Arial"/>
          <w:sz w:val="20"/>
          <w:szCs w:val="20"/>
        </w:rPr>
        <w:t>enter for Advanced Research for Military Optimization, Readiness, and Rehabilitation, F. Edward Hébert School of Medicine, Uniformed Services University</w:t>
      </w:r>
    </w:p>
    <w:p w14:paraId="41A34692" w14:textId="4A3418FF" w:rsidR="00002CD7" w:rsidRPr="00F47BE6" w:rsidRDefault="00933C93" w:rsidP="00D36E11">
      <w:pPr>
        <w:spacing w:after="0" w:line="240" w:lineRule="auto"/>
        <w:rPr>
          <w:rFonts w:cs="Arial"/>
          <w:sz w:val="20"/>
          <w:szCs w:val="20"/>
        </w:rPr>
      </w:pPr>
      <w:r>
        <w:rPr>
          <w:rFonts w:cs="Arial"/>
          <w:sz w:val="20"/>
          <w:szCs w:val="20"/>
        </w:rPr>
        <w:t xml:space="preserve">(3) </w:t>
      </w:r>
      <w:r w:rsidR="007E38C3" w:rsidRPr="00F47BE6">
        <w:rPr>
          <w:rFonts w:cs="Arial"/>
          <w:sz w:val="20"/>
          <w:szCs w:val="20"/>
        </w:rPr>
        <w:t>Henry M. Jackson Foundation for the Advancement of Military Medicine, Inc.</w:t>
      </w:r>
    </w:p>
    <w:p w14:paraId="2FD713C0" w14:textId="77777777" w:rsidR="00002CD7" w:rsidRDefault="00002CD7" w:rsidP="00D36E11">
      <w:pPr>
        <w:spacing w:after="0" w:line="240" w:lineRule="auto"/>
        <w:rPr>
          <w:rFonts w:cs="Arial"/>
          <w:sz w:val="20"/>
          <w:szCs w:val="20"/>
        </w:rPr>
      </w:pPr>
    </w:p>
    <w:p w14:paraId="0293303B" w14:textId="77777777" w:rsidR="007A7813" w:rsidRPr="00F47BE6" w:rsidRDefault="007A7813" w:rsidP="00D36E11">
      <w:pPr>
        <w:spacing w:after="0" w:line="240" w:lineRule="auto"/>
        <w:rPr>
          <w:rFonts w:cs="Arial"/>
          <w:sz w:val="20"/>
          <w:szCs w:val="20"/>
        </w:rPr>
      </w:pPr>
    </w:p>
    <w:p w14:paraId="64212A41" w14:textId="3F426098" w:rsidR="00002CD7" w:rsidRPr="00751DA1" w:rsidRDefault="000D0C44" w:rsidP="00D36E11">
      <w:pPr>
        <w:spacing w:after="0" w:line="240" w:lineRule="auto"/>
        <w:rPr>
          <w:rFonts w:cs="Arial"/>
          <w:sz w:val="20"/>
          <w:szCs w:val="20"/>
          <w:u w:val="single"/>
        </w:rPr>
      </w:pPr>
      <w:r>
        <w:rPr>
          <w:rFonts w:cs="Arial"/>
          <w:b/>
          <w:sz w:val="20"/>
          <w:szCs w:val="20"/>
          <w:u w:val="single"/>
        </w:rPr>
        <w:t xml:space="preserve">55. </w:t>
      </w:r>
      <w:r w:rsidR="007E38C3" w:rsidRPr="00751DA1">
        <w:rPr>
          <w:rFonts w:cs="Arial"/>
          <w:b/>
          <w:sz w:val="20"/>
          <w:szCs w:val="20"/>
          <w:u w:val="single"/>
        </w:rPr>
        <w:t>Traumatic Brain Injury, Strangulation, and Intimate Partner Violence: Findings from the University of Colorado Hospital Forensic Nursing Program Between 2020-2025</w:t>
      </w:r>
    </w:p>
    <w:p w14:paraId="4FF258F3" w14:textId="77777777" w:rsidR="006104A9" w:rsidRDefault="006104A9" w:rsidP="00D36E11">
      <w:pPr>
        <w:spacing w:after="0" w:line="240" w:lineRule="auto"/>
        <w:rPr>
          <w:rFonts w:cs="Arial"/>
          <w:b/>
          <w:sz w:val="20"/>
          <w:szCs w:val="20"/>
        </w:rPr>
      </w:pPr>
    </w:p>
    <w:p w14:paraId="675EF519" w14:textId="6C533A59"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Rachel Kennedy, University of Colorado School of Medicine</w:t>
      </w:r>
    </w:p>
    <w:p w14:paraId="24599C0E" w14:textId="77777777" w:rsidR="006104A9" w:rsidRDefault="006104A9" w:rsidP="00D36E11">
      <w:pPr>
        <w:spacing w:after="0" w:line="240" w:lineRule="auto"/>
        <w:rPr>
          <w:rFonts w:cs="Arial"/>
          <w:b/>
          <w:bCs/>
          <w:sz w:val="20"/>
          <w:szCs w:val="20"/>
        </w:rPr>
      </w:pPr>
    </w:p>
    <w:p w14:paraId="40EDB917" w14:textId="1F4B3C6B"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Intimate partner violence (IPV) is a major public health crisis affecting 1 in 3 women and 1 in 4 men in the US. Traumatic brain injury (TBI) is a common mechanism of injury among IPV victim-survivors and can result in substantial morbidity and mortality. Understanding patterns of TBI screening, diagnosis, and symptom presentation among patients experiencing IPV may improve recognition of injury and inform clinical care.</w:t>
      </w:r>
      <w:r w:rsidRPr="00F47BE6">
        <w:rPr>
          <w:rFonts w:cs="Arial"/>
          <w:sz w:val="20"/>
          <w:szCs w:val="20"/>
        </w:rPr>
        <w:br/>
      </w:r>
      <w:r w:rsidRPr="00751DA1">
        <w:rPr>
          <w:rFonts w:cs="Arial"/>
          <w:sz w:val="20"/>
          <w:szCs w:val="20"/>
          <w:u w:val="single"/>
        </w:rPr>
        <w:t>Methods:</w:t>
      </w:r>
      <w:r w:rsidRPr="00F47BE6">
        <w:rPr>
          <w:rFonts w:cs="Arial"/>
          <w:sz w:val="20"/>
          <w:szCs w:val="20"/>
        </w:rPr>
        <w:t xml:space="preserve"> This was a secondary analysis of medical record data examining demographic factors and the co-occurrence of IPV and strangulation outcomes among patients who were assessed for TBI by the University of Colorado Hospital Forensic Nurse Examiner (FNE) program between 2020-2025. Associations were evaluated between demographics, completion of the Danger Assessment (DA) for IPV lethality, strangulation screening, and TBI-related diagnoses and signs/symptoms as reported in the Acute Concussion Evaluation (ACE).</w:t>
      </w:r>
      <w:r w:rsidRPr="00F47BE6">
        <w:rPr>
          <w:rFonts w:cs="Arial"/>
          <w:sz w:val="20"/>
          <w:szCs w:val="20"/>
        </w:rPr>
        <w:br/>
      </w:r>
      <w:r w:rsidRPr="00751DA1">
        <w:rPr>
          <w:rFonts w:cs="Arial"/>
          <w:sz w:val="20"/>
          <w:szCs w:val="20"/>
          <w:u w:val="single"/>
        </w:rPr>
        <w:t>Results:</w:t>
      </w:r>
      <w:r w:rsidRPr="00F47BE6">
        <w:rPr>
          <w:rFonts w:cs="Arial"/>
          <w:sz w:val="20"/>
          <w:szCs w:val="20"/>
        </w:rPr>
        <w:t xml:space="preserve"> Among 15,742 FNE program patients, 5,086 were assessed for TBI, including 3,350 females (65.8%) and 1,736 males (34.2%). Females were more likely than males to complete DA and strangulation assessments in addition to the ACE for TBI. Females also had lower odds of TBI diagnoses or observable signs of brain injury yet reported significantly greater TBI symptom burden. Higher IPV lethality (DA) scores and completion of the DA </w:t>
      </w:r>
      <w:r w:rsidRPr="00F47BE6">
        <w:rPr>
          <w:rFonts w:cs="Arial"/>
          <w:sz w:val="20"/>
          <w:szCs w:val="20"/>
        </w:rPr>
        <w:lastRenderedPageBreak/>
        <w:t xml:space="preserve">and strangulation assessments were associated with worse TBI symptom scores. </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This study showed that female patients presenting to the FNE program reported greater TBI symptom burden despite having lower odds of TBI-related diagnoses or observable signs of injury. It further demonstrates how experiencing IPV or strangulation made for poorer TBI-related outcomes. These findings underscore the importance of comprehensive, trauma-informed screening for TBI, IPV, and strangulation together, and highlight the importance of both observable signs and patient-reported symptoms and experiences when evaluating TBI risk among IPV survivors.</w:t>
      </w:r>
    </w:p>
    <w:p w14:paraId="3B8818FF" w14:textId="77777777" w:rsidR="006104A9" w:rsidRDefault="006104A9" w:rsidP="00D36E11">
      <w:pPr>
        <w:spacing w:after="0" w:line="240" w:lineRule="auto"/>
        <w:rPr>
          <w:rFonts w:cs="Arial"/>
          <w:b/>
          <w:sz w:val="20"/>
          <w:szCs w:val="20"/>
        </w:rPr>
      </w:pPr>
    </w:p>
    <w:p w14:paraId="7AE28E9A" w14:textId="1CC48DFE"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S. Rachel Kennedy, PhD, MSN/MPH, RN</w:t>
      </w:r>
      <w:r w:rsidR="00CD1F86">
        <w:rPr>
          <w:rFonts w:cs="Arial"/>
          <w:sz w:val="20"/>
          <w:szCs w:val="20"/>
        </w:rPr>
        <w:t xml:space="preserve">, </w:t>
      </w:r>
      <w:r w:rsidR="007E38C3" w:rsidRPr="00F47BE6">
        <w:rPr>
          <w:rFonts w:cs="Arial"/>
          <w:sz w:val="20"/>
          <w:szCs w:val="20"/>
        </w:rPr>
        <w:t>Alexis Clendenin, BSN, RN, CCRN</w:t>
      </w:r>
      <w:r w:rsidR="00CD1F86">
        <w:rPr>
          <w:rFonts w:cs="Arial"/>
          <w:sz w:val="20"/>
          <w:szCs w:val="20"/>
        </w:rPr>
        <w:t xml:space="preserve">, </w:t>
      </w:r>
      <w:r w:rsidR="007E38C3" w:rsidRPr="00F47BE6">
        <w:rPr>
          <w:rFonts w:cs="Arial"/>
          <w:sz w:val="20"/>
          <w:szCs w:val="20"/>
        </w:rPr>
        <w:t>Loretta Tsu, PhD(c), RN</w:t>
      </w:r>
      <w:r w:rsidR="00CD1F86">
        <w:rPr>
          <w:rFonts w:cs="Arial"/>
          <w:sz w:val="20"/>
          <w:szCs w:val="20"/>
        </w:rPr>
        <w:t xml:space="preserve">, </w:t>
      </w:r>
      <w:r w:rsidR="007E38C3" w:rsidRPr="00F47BE6">
        <w:rPr>
          <w:rFonts w:cs="Arial"/>
          <w:sz w:val="20"/>
          <w:szCs w:val="20"/>
        </w:rPr>
        <w:t>Christine Baugh, MD</w:t>
      </w:r>
      <w:r w:rsidR="00CD1F86">
        <w:rPr>
          <w:rFonts w:cs="Arial"/>
          <w:sz w:val="20"/>
          <w:szCs w:val="20"/>
        </w:rPr>
        <w:t xml:space="preserve">, </w:t>
      </w:r>
      <w:r w:rsidR="007E38C3" w:rsidRPr="00F47BE6">
        <w:rPr>
          <w:rFonts w:cs="Arial"/>
          <w:sz w:val="20"/>
          <w:szCs w:val="20"/>
        </w:rPr>
        <w:t>Christina Yannetsos, MD</w:t>
      </w:r>
    </w:p>
    <w:p w14:paraId="6085B5AF" w14:textId="77777777" w:rsidR="00002CD7" w:rsidRDefault="00002CD7" w:rsidP="00D36E11">
      <w:pPr>
        <w:spacing w:after="0" w:line="240" w:lineRule="auto"/>
        <w:rPr>
          <w:rFonts w:cs="Arial"/>
          <w:sz w:val="20"/>
          <w:szCs w:val="20"/>
        </w:rPr>
      </w:pPr>
    </w:p>
    <w:p w14:paraId="3225B068" w14:textId="77777777" w:rsidR="006104A9" w:rsidRPr="00F47BE6" w:rsidRDefault="006104A9" w:rsidP="00D36E11">
      <w:pPr>
        <w:spacing w:after="0" w:line="240" w:lineRule="auto"/>
        <w:rPr>
          <w:rFonts w:cs="Arial"/>
          <w:sz w:val="20"/>
          <w:szCs w:val="20"/>
        </w:rPr>
      </w:pPr>
    </w:p>
    <w:p w14:paraId="6F364C15" w14:textId="48C85E60" w:rsidR="00002CD7" w:rsidRPr="00751DA1" w:rsidRDefault="0025692C" w:rsidP="00D36E11">
      <w:pPr>
        <w:spacing w:after="0" w:line="240" w:lineRule="auto"/>
        <w:rPr>
          <w:rFonts w:cs="Arial"/>
          <w:sz w:val="20"/>
          <w:szCs w:val="20"/>
          <w:u w:val="single"/>
        </w:rPr>
      </w:pPr>
      <w:r>
        <w:rPr>
          <w:rFonts w:cs="Arial"/>
          <w:b/>
          <w:sz w:val="20"/>
          <w:szCs w:val="20"/>
          <w:u w:val="single"/>
        </w:rPr>
        <w:t xml:space="preserve">56. </w:t>
      </w:r>
      <w:r w:rsidR="007E38C3" w:rsidRPr="00751DA1">
        <w:rPr>
          <w:rFonts w:cs="Arial"/>
          <w:b/>
          <w:sz w:val="20"/>
          <w:szCs w:val="20"/>
          <w:u w:val="single"/>
        </w:rPr>
        <w:t>Characterizing Emergency Psychiatric Care Among American Indian and Alaska Native People</w:t>
      </w:r>
    </w:p>
    <w:p w14:paraId="4F59CCA3" w14:textId="77777777" w:rsidR="006104A9" w:rsidRDefault="006104A9" w:rsidP="00D36E11">
      <w:pPr>
        <w:spacing w:after="0" w:line="240" w:lineRule="auto"/>
        <w:rPr>
          <w:rFonts w:cs="Arial"/>
          <w:b/>
          <w:sz w:val="20"/>
          <w:szCs w:val="20"/>
        </w:rPr>
      </w:pPr>
    </w:p>
    <w:p w14:paraId="1111BC24" w14:textId="425EF13F"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Cole Haskins, Denver Health</w:t>
      </w:r>
    </w:p>
    <w:p w14:paraId="4CB40818" w14:textId="77777777" w:rsidR="006104A9" w:rsidRDefault="006104A9" w:rsidP="00D36E11">
      <w:pPr>
        <w:spacing w:after="0" w:line="240" w:lineRule="auto"/>
        <w:rPr>
          <w:rFonts w:cs="Arial"/>
          <w:b/>
          <w:bCs/>
          <w:sz w:val="20"/>
          <w:szCs w:val="20"/>
        </w:rPr>
      </w:pPr>
    </w:p>
    <w:p w14:paraId="706B63F4" w14:textId="430C5F62"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American Indian/Alaska Native (AI/AN) populations experience substantial disparities in mental health and substance use disorders relative to White populations. Historically marginalized and displaced people face barriers to preventive care, making emergency services a primary point of treatment. There is minimal study characterizing emergency psychiatric care among AI/AN patients.</w:t>
      </w:r>
      <w:r w:rsidRPr="00F47BE6">
        <w:rPr>
          <w:rFonts w:cs="Arial"/>
          <w:sz w:val="20"/>
          <w:szCs w:val="20"/>
        </w:rPr>
        <w:br/>
        <w:t xml:space="preserve">This study describes psychiatric emergency encounters across reported race groups, with focused comparison of differences between AI/AN and White patients. </w:t>
      </w:r>
      <w:r w:rsidRPr="00F47BE6">
        <w:rPr>
          <w:rFonts w:cs="Arial"/>
          <w:sz w:val="20"/>
          <w:szCs w:val="20"/>
        </w:rPr>
        <w:br/>
      </w:r>
      <w:r w:rsidRPr="00751DA1">
        <w:rPr>
          <w:rFonts w:cs="Arial"/>
          <w:sz w:val="20"/>
          <w:szCs w:val="20"/>
          <w:u w:val="single"/>
        </w:rPr>
        <w:t>Methods:</w:t>
      </w:r>
      <w:r w:rsidRPr="00F47BE6">
        <w:rPr>
          <w:rFonts w:cs="Arial"/>
          <w:sz w:val="20"/>
          <w:szCs w:val="20"/>
        </w:rPr>
        <w:t xml:space="preserve"> A retrospective observational study using deidentified electronic medical records, 1/1/2017-1/1/2025. A 10-bed psychiatric emergency service (PES) at Denver Health Medical Center, a level 1 trauma center, safety net hospital in Denver, Colorado. Including all patients with PES care encounters. Variables include insurance, housing instability, encounter diagnoses, antipsychotic and restraint use, admission to psychiatry, and discharge to withdrawal management. Analyses include Chi-square comparisons of key exposures, restricted to AI/AN and White groups to reduce Type I error risk. </w:t>
      </w:r>
      <w:r w:rsidRPr="00F47BE6">
        <w:rPr>
          <w:rFonts w:cs="Arial"/>
          <w:sz w:val="20"/>
          <w:szCs w:val="20"/>
        </w:rPr>
        <w:br/>
      </w:r>
      <w:r w:rsidRPr="00751DA1">
        <w:rPr>
          <w:rFonts w:cs="Arial"/>
          <w:sz w:val="20"/>
          <w:szCs w:val="20"/>
          <w:u w:val="single"/>
        </w:rPr>
        <w:t>Results:</w:t>
      </w:r>
      <w:r w:rsidRPr="00F47BE6">
        <w:rPr>
          <w:rFonts w:cs="Arial"/>
          <w:sz w:val="20"/>
          <w:szCs w:val="20"/>
        </w:rPr>
        <w:t xml:space="preserve"> 23,472 individuals accessed care, with 39,379 unique encounters. 72.1% identified as White and 1.6% AI/AN. Compared to Whites, AI/AN patients were significantly overrepresented for Medicaid insurance (77.5% vs 58.5%), alcohol- (41.6%. vs 30.0%) and stimulant-related diagnoses (33.0% vs 28.2%), discharge to withdrawal management (9.4% vs 6.3%), though fewer opioid-related diagnoses (10.2% vs 14.2%), p&lt;0.05 all.</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In this retrospective examination of emergency psychiatric care, AI/AN patients had higher prevalence of encounters for specific substance use disorders and indicators of socioeconomic challenges. Contrary to mood and anxiety disorder disparities in other settings, rates were comparable in emergency psychiatric encounters between AI/AN and White patients. Findings highlight opportunities to address emergency care disparities, and the need for future work evaluating AI/AN facilitators of longitudinal substance use care, and other race group disparities.</w:t>
      </w:r>
    </w:p>
    <w:p w14:paraId="7DBCC0EF" w14:textId="77777777" w:rsidR="006104A9" w:rsidRDefault="006104A9" w:rsidP="00D36E11">
      <w:pPr>
        <w:spacing w:after="0" w:line="240" w:lineRule="auto"/>
        <w:rPr>
          <w:rFonts w:cs="Arial"/>
          <w:b/>
          <w:sz w:val="20"/>
          <w:szCs w:val="20"/>
        </w:rPr>
      </w:pPr>
    </w:p>
    <w:p w14:paraId="62E66E4A" w14:textId="31A7643A" w:rsidR="00002CD7" w:rsidRPr="00F47BE6"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Cole Haskins, MD, PhD</w:t>
      </w:r>
      <w:r w:rsidR="00DE4880">
        <w:rPr>
          <w:rFonts w:cs="Arial"/>
          <w:sz w:val="20"/>
          <w:szCs w:val="20"/>
        </w:rPr>
        <w:t xml:space="preserve"> </w:t>
      </w:r>
      <w:r w:rsidR="007E38C3" w:rsidRPr="00F47BE6">
        <w:rPr>
          <w:rFonts w:cs="Arial"/>
          <w:sz w:val="20"/>
          <w:szCs w:val="20"/>
        </w:rPr>
        <w:t>(1,2), Ryan Loh, PhD</w:t>
      </w:r>
      <w:r w:rsidR="00DE4880">
        <w:rPr>
          <w:rFonts w:cs="Arial"/>
          <w:sz w:val="20"/>
          <w:szCs w:val="20"/>
        </w:rPr>
        <w:t xml:space="preserve"> </w:t>
      </w:r>
      <w:r w:rsidR="007E38C3" w:rsidRPr="00F47BE6">
        <w:rPr>
          <w:rFonts w:cs="Arial"/>
          <w:sz w:val="20"/>
          <w:szCs w:val="20"/>
        </w:rPr>
        <w:t>(1,2), Daniel Severn, DO</w:t>
      </w:r>
      <w:r w:rsidR="00DE4880">
        <w:rPr>
          <w:rFonts w:cs="Arial"/>
          <w:sz w:val="20"/>
          <w:szCs w:val="20"/>
        </w:rPr>
        <w:t xml:space="preserve"> </w:t>
      </w:r>
      <w:r w:rsidR="007E38C3" w:rsidRPr="00F47BE6">
        <w:rPr>
          <w:rFonts w:cs="Arial"/>
          <w:sz w:val="20"/>
          <w:szCs w:val="20"/>
        </w:rPr>
        <w:t>(1,2), Spero M. Manson, PhD</w:t>
      </w:r>
      <w:r w:rsidR="00DE4880">
        <w:rPr>
          <w:rFonts w:cs="Arial"/>
          <w:sz w:val="20"/>
          <w:szCs w:val="20"/>
        </w:rPr>
        <w:t xml:space="preserve"> </w:t>
      </w:r>
      <w:r w:rsidR="007E38C3" w:rsidRPr="00F47BE6">
        <w:rPr>
          <w:rFonts w:cs="Arial"/>
          <w:sz w:val="20"/>
          <w:szCs w:val="20"/>
        </w:rPr>
        <w:t>(3), Christian Thurstone, MD, MS</w:t>
      </w:r>
      <w:r w:rsidR="00DE4880">
        <w:rPr>
          <w:rFonts w:cs="Arial"/>
          <w:sz w:val="20"/>
          <w:szCs w:val="20"/>
        </w:rPr>
        <w:t xml:space="preserve"> </w:t>
      </w:r>
      <w:r w:rsidR="007E38C3" w:rsidRPr="00F47BE6">
        <w:rPr>
          <w:rFonts w:cs="Arial"/>
          <w:sz w:val="20"/>
          <w:szCs w:val="20"/>
        </w:rPr>
        <w:t>(1,2)</w:t>
      </w:r>
      <w:r w:rsidR="007E38C3" w:rsidRPr="00F47BE6">
        <w:rPr>
          <w:rFonts w:cs="Arial"/>
          <w:sz w:val="20"/>
          <w:szCs w:val="20"/>
        </w:rPr>
        <w:br/>
      </w:r>
      <w:r w:rsidR="007E38C3" w:rsidRPr="00F47BE6">
        <w:rPr>
          <w:rFonts w:cs="Arial"/>
          <w:sz w:val="20"/>
          <w:szCs w:val="20"/>
        </w:rPr>
        <w:br/>
      </w:r>
      <w:r w:rsidR="00DE4880">
        <w:rPr>
          <w:rFonts w:cs="Arial"/>
          <w:sz w:val="20"/>
          <w:szCs w:val="20"/>
        </w:rPr>
        <w:t>(</w:t>
      </w:r>
      <w:r w:rsidR="007E38C3" w:rsidRPr="00F47BE6">
        <w:rPr>
          <w:rFonts w:cs="Arial"/>
          <w:sz w:val="20"/>
          <w:szCs w:val="20"/>
        </w:rPr>
        <w:t>1</w:t>
      </w:r>
      <w:r w:rsidR="00DE4880">
        <w:rPr>
          <w:rFonts w:cs="Arial"/>
          <w:sz w:val="20"/>
          <w:szCs w:val="20"/>
        </w:rPr>
        <w:t>)</w:t>
      </w:r>
      <w:r w:rsidR="007E38C3" w:rsidRPr="00F47BE6">
        <w:rPr>
          <w:rFonts w:cs="Arial"/>
          <w:sz w:val="20"/>
          <w:szCs w:val="20"/>
        </w:rPr>
        <w:t xml:space="preserve"> Denver Health Medical Center, Department of Behavioral Health Services</w:t>
      </w:r>
      <w:r w:rsidR="007E38C3" w:rsidRPr="00F47BE6">
        <w:rPr>
          <w:rFonts w:cs="Arial"/>
          <w:sz w:val="20"/>
          <w:szCs w:val="20"/>
        </w:rPr>
        <w:br/>
      </w:r>
      <w:r w:rsidR="00DE4880">
        <w:rPr>
          <w:rFonts w:cs="Arial"/>
          <w:sz w:val="20"/>
          <w:szCs w:val="20"/>
        </w:rPr>
        <w:t>(</w:t>
      </w:r>
      <w:r w:rsidR="007E38C3" w:rsidRPr="00F47BE6">
        <w:rPr>
          <w:rFonts w:cs="Arial"/>
          <w:sz w:val="20"/>
          <w:szCs w:val="20"/>
        </w:rPr>
        <w:t>2</w:t>
      </w:r>
      <w:r w:rsidR="00DE4880">
        <w:rPr>
          <w:rFonts w:cs="Arial"/>
          <w:sz w:val="20"/>
          <w:szCs w:val="20"/>
        </w:rPr>
        <w:t>)</w:t>
      </w:r>
      <w:r w:rsidR="007E38C3" w:rsidRPr="00F47BE6">
        <w:rPr>
          <w:rFonts w:cs="Arial"/>
          <w:sz w:val="20"/>
          <w:szCs w:val="20"/>
        </w:rPr>
        <w:t xml:space="preserve"> University of Colorado, Department of Psychiatry</w:t>
      </w:r>
      <w:r w:rsidR="007E38C3" w:rsidRPr="00F47BE6">
        <w:rPr>
          <w:rFonts w:cs="Arial"/>
          <w:sz w:val="20"/>
          <w:szCs w:val="20"/>
        </w:rPr>
        <w:br/>
      </w:r>
      <w:r w:rsidR="00DE4880">
        <w:rPr>
          <w:rFonts w:cs="Arial"/>
          <w:sz w:val="20"/>
          <w:szCs w:val="20"/>
        </w:rPr>
        <w:t>(</w:t>
      </w:r>
      <w:r w:rsidR="007E38C3" w:rsidRPr="00F47BE6">
        <w:rPr>
          <w:rFonts w:cs="Arial"/>
          <w:sz w:val="20"/>
          <w:szCs w:val="20"/>
        </w:rPr>
        <w:t>3</w:t>
      </w:r>
      <w:r w:rsidR="00DE4880">
        <w:rPr>
          <w:rFonts w:cs="Arial"/>
          <w:sz w:val="20"/>
          <w:szCs w:val="20"/>
        </w:rPr>
        <w:t>)</w:t>
      </w:r>
      <w:r w:rsidR="007E38C3" w:rsidRPr="00F47BE6">
        <w:rPr>
          <w:rFonts w:cs="Arial"/>
          <w:sz w:val="20"/>
          <w:szCs w:val="20"/>
        </w:rPr>
        <w:t xml:space="preserve"> University of Colorado, Colorado School of Public Health, Centers for American Indian and Alaska Native Health</w:t>
      </w:r>
    </w:p>
    <w:p w14:paraId="3D220764" w14:textId="77777777" w:rsidR="00002CD7" w:rsidRDefault="00002CD7" w:rsidP="00D36E11">
      <w:pPr>
        <w:spacing w:after="0" w:line="240" w:lineRule="auto"/>
        <w:rPr>
          <w:rFonts w:cs="Arial"/>
          <w:sz w:val="20"/>
          <w:szCs w:val="20"/>
        </w:rPr>
      </w:pPr>
    </w:p>
    <w:p w14:paraId="0E8322B4" w14:textId="77777777" w:rsidR="006104A9" w:rsidRPr="00F47BE6" w:rsidRDefault="006104A9" w:rsidP="00D36E11">
      <w:pPr>
        <w:spacing w:after="0" w:line="240" w:lineRule="auto"/>
        <w:rPr>
          <w:rFonts w:cs="Arial"/>
          <w:sz w:val="20"/>
          <w:szCs w:val="20"/>
        </w:rPr>
      </w:pPr>
    </w:p>
    <w:p w14:paraId="786B7628" w14:textId="2557E591" w:rsidR="00002CD7" w:rsidRPr="00F83438" w:rsidRDefault="00D7213C" w:rsidP="00D36E11">
      <w:pPr>
        <w:spacing w:after="0" w:line="240" w:lineRule="auto"/>
        <w:rPr>
          <w:rFonts w:cs="Arial"/>
          <w:sz w:val="20"/>
          <w:szCs w:val="20"/>
          <w:u w:val="single"/>
        </w:rPr>
      </w:pPr>
      <w:r>
        <w:rPr>
          <w:rFonts w:cs="Arial"/>
          <w:b/>
          <w:sz w:val="20"/>
          <w:szCs w:val="20"/>
          <w:u w:val="single"/>
        </w:rPr>
        <w:t xml:space="preserve">57. </w:t>
      </w:r>
      <w:r w:rsidR="007E38C3" w:rsidRPr="00F83438">
        <w:rPr>
          <w:rFonts w:cs="Arial"/>
          <w:b/>
          <w:sz w:val="20"/>
          <w:szCs w:val="20"/>
          <w:u w:val="single"/>
        </w:rPr>
        <w:t>Sociodemographic differences in obesity prevalence among adolescents:</w:t>
      </w:r>
      <w:r w:rsidR="00F83438" w:rsidRPr="00F83438">
        <w:rPr>
          <w:rFonts w:cs="Arial"/>
          <w:b/>
          <w:sz w:val="20"/>
          <w:szCs w:val="20"/>
          <w:u w:val="single"/>
        </w:rPr>
        <w:t xml:space="preserve"> </w:t>
      </w:r>
      <w:r w:rsidR="007E38C3" w:rsidRPr="00F83438">
        <w:rPr>
          <w:rFonts w:cs="Arial"/>
          <w:b/>
          <w:sz w:val="20"/>
          <w:szCs w:val="20"/>
          <w:u w:val="single"/>
        </w:rPr>
        <w:t>a retrospective cross</w:t>
      </w:r>
      <w:r w:rsidR="00F83438" w:rsidRPr="00F83438">
        <w:rPr>
          <w:rFonts w:cs="Arial"/>
          <w:b/>
          <w:sz w:val="20"/>
          <w:szCs w:val="20"/>
          <w:u w:val="single"/>
        </w:rPr>
        <w:t>-</w:t>
      </w:r>
      <w:r w:rsidR="007E38C3" w:rsidRPr="00F83438">
        <w:rPr>
          <w:rFonts w:cs="Arial"/>
          <w:b/>
          <w:sz w:val="20"/>
          <w:szCs w:val="20"/>
          <w:u w:val="single"/>
        </w:rPr>
        <w:t>sectional study</w:t>
      </w:r>
    </w:p>
    <w:p w14:paraId="41E131DF" w14:textId="77777777" w:rsidR="00F83438" w:rsidRDefault="00F83438" w:rsidP="00D36E11">
      <w:pPr>
        <w:spacing w:after="0" w:line="240" w:lineRule="auto"/>
        <w:rPr>
          <w:rFonts w:cs="Arial"/>
          <w:b/>
          <w:sz w:val="20"/>
          <w:szCs w:val="20"/>
        </w:rPr>
      </w:pPr>
    </w:p>
    <w:p w14:paraId="4DA0D876" w14:textId="71C8DD5D"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Emily Skrocki, University of Colorado School of Medicine, Children's Hospital Colorado</w:t>
      </w:r>
    </w:p>
    <w:p w14:paraId="605EC8E7" w14:textId="77777777" w:rsidR="00F83438" w:rsidRDefault="00F83438" w:rsidP="00D36E11">
      <w:pPr>
        <w:spacing w:after="0" w:line="240" w:lineRule="auto"/>
        <w:rPr>
          <w:rFonts w:cs="Arial"/>
          <w:sz w:val="20"/>
          <w:szCs w:val="20"/>
        </w:rPr>
      </w:pPr>
    </w:p>
    <w:p w14:paraId="57D67E9F" w14:textId="77777777" w:rsidR="003A6FE4" w:rsidRDefault="007E38C3" w:rsidP="00D36E11">
      <w:pPr>
        <w:spacing w:after="0" w:line="240" w:lineRule="auto"/>
        <w:rPr>
          <w:rFonts w:cs="Arial"/>
          <w:sz w:val="20"/>
          <w:szCs w:val="20"/>
        </w:rPr>
      </w:pPr>
      <w:r w:rsidRPr="00F83438">
        <w:rPr>
          <w:rFonts w:cs="Arial"/>
          <w:sz w:val="20"/>
          <w:szCs w:val="20"/>
          <w:u w:val="single"/>
        </w:rPr>
        <w:t>Introduction:</w:t>
      </w:r>
      <w:r w:rsidRPr="00F47BE6">
        <w:rPr>
          <w:rFonts w:cs="Arial"/>
          <w:sz w:val="20"/>
          <w:szCs w:val="20"/>
        </w:rPr>
        <w:t xml:space="preserve"> The objective of this study is to identify whether the prevalence rates of pediatric patients aged 11-18 years-old experiencing obesity (Body Mass Index [BMI] </w:t>
      </w:r>
      <w:r w:rsidR="003A6FE4">
        <w:rPr>
          <w:rFonts w:cs="Arial"/>
          <w:sz w:val="20"/>
          <w:szCs w:val="20"/>
        </w:rPr>
        <w:t>&gt;</w:t>
      </w:r>
      <w:r w:rsidRPr="00F47BE6">
        <w:rPr>
          <w:rFonts w:cs="Arial"/>
          <w:sz w:val="20"/>
          <w:szCs w:val="20"/>
        </w:rPr>
        <w:t>95th percentile) differ significantly from normal weight pediatric patients across various sociodemographic categories.</w:t>
      </w:r>
    </w:p>
    <w:p w14:paraId="3CB65693" w14:textId="77777777" w:rsidR="003A6FE4" w:rsidRDefault="007E38C3" w:rsidP="00D36E11">
      <w:pPr>
        <w:spacing w:after="0" w:line="240" w:lineRule="auto"/>
        <w:rPr>
          <w:rFonts w:cs="Arial"/>
          <w:sz w:val="20"/>
          <w:szCs w:val="20"/>
        </w:rPr>
      </w:pPr>
      <w:r w:rsidRPr="003A6FE4">
        <w:rPr>
          <w:rFonts w:cs="Arial"/>
          <w:sz w:val="20"/>
          <w:szCs w:val="20"/>
          <w:u w:val="single"/>
        </w:rPr>
        <w:t>Methods:</w:t>
      </w:r>
      <w:r w:rsidRPr="00F47BE6">
        <w:rPr>
          <w:rFonts w:cs="Arial"/>
          <w:sz w:val="20"/>
          <w:szCs w:val="20"/>
        </w:rPr>
        <w:t xml:space="preserve"> We conducted this one-year, retrospective, cross-sectional review in a large urban academic primary care clinic with primarily publicly insured patients. Chi-Square tests were performed to assess whether the distribution of obesity status (versus normal BMI) is independent of the following categorical variables: primary </w:t>
      </w:r>
      <w:r w:rsidRPr="00F47BE6">
        <w:rPr>
          <w:rFonts w:cs="Arial"/>
          <w:sz w:val="20"/>
          <w:szCs w:val="20"/>
        </w:rPr>
        <w:lastRenderedPageBreak/>
        <w:t xml:space="preserve">language, insurance type, food insecurity, and depression screening result. Z-tests for proportions were conducted to compare each group's obesity proportion to the overall obesity proportion in the sample (~32.7%). </w:t>
      </w:r>
    </w:p>
    <w:p w14:paraId="5E0D528E" w14:textId="5AC46DD4" w:rsidR="00F83438" w:rsidRDefault="007E38C3" w:rsidP="00D36E11">
      <w:pPr>
        <w:spacing w:after="0" w:line="240" w:lineRule="auto"/>
        <w:rPr>
          <w:rFonts w:cs="Arial"/>
          <w:sz w:val="20"/>
          <w:szCs w:val="20"/>
        </w:rPr>
      </w:pPr>
      <w:r w:rsidRPr="003A6FE4">
        <w:rPr>
          <w:rFonts w:cs="Arial"/>
          <w:sz w:val="20"/>
          <w:szCs w:val="20"/>
          <w:u w:val="single"/>
        </w:rPr>
        <w:t>Results:</w:t>
      </w:r>
      <w:r w:rsidRPr="00F47BE6">
        <w:rPr>
          <w:rFonts w:cs="Arial"/>
          <w:sz w:val="20"/>
          <w:szCs w:val="20"/>
        </w:rPr>
        <w:t xml:space="preserve"> We found certain sociodemographic categories were significantly associated with different prevalence of obesity. Specifically, Medicaid recipients and those with positive depression screening have significantly higher prevalence of obesity. Individuals experiencing food insecurity or primary language of English or Spanish showed no significant differences in obesity prevalence. </w:t>
      </w:r>
    </w:p>
    <w:p w14:paraId="2E9D117E" w14:textId="77F07033" w:rsidR="00002CD7" w:rsidRPr="00F47BE6" w:rsidRDefault="007E38C3" w:rsidP="00D36E11">
      <w:pPr>
        <w:spacing w:after="0" w:line="240" w:lineRule="auto"/>
        <w:rPr>
          <w:rFonts w:cs="Arial"/>
          <w:sz w:val="20"/>
          <w:szCs w:val="20"/>
        </w:rPr>
      </w:pPr>
      <w:r w:rsidRPr="00F83438">
        <w:rPr>
          <w:rFonts w:cs="Arial"/>
          <w:sz w:val="20"/>
          <w:szCs w:val="20"/>
          <w:u w:val="single"/>
        </w:rPr>
        <w:t>Conclusion:</w:t>
      </w:r>
      <w:r w:rsidRPr="00F47BE6">
        <w:rPr>
          <w:rFonts w:cs="Arial"/>
          <w:sz w:val="20"/>
          <w:szCs w:val="20"/>
        </w:rPr>
        <w:t xml:space="preserve"> The significantly higher obesity rates among patients with positive depression screening (40.4%) and among Medicaid recipients (36.4%) underscores the need for targeted interventions that address both physical and behavioral health simultaneously. Integrating depression treatment into obesity management programs within Medicaid-supported settings could improve overall health outcomes, reduce healthcare costs, and promote equity in care delivery</w:t>
      </w:r>
    </w:p>
    <w:p w14:paraId="679773EF" w14:textId="77777777" w:rsidR="00F83438" w:rsidRDefault="00F83438" w:rsidP="00D36E11">
      <w:pPr>
        <w:spacing w:after="0" w:line="240" w:lineRule="auto"/>
        <w:rPr>
          <w:rFonts w:cs="Arial"/>
          <w:b/>
          <w:sz w:val="20"/>
          <w:szCs w:val="20"/>
        </w:rPr>
      </w:pPr>
    </w:p>
    <w:p w14:paraId="5AB4D475" w14:textId="1620A623"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Emily T. Skrocki, DNP, APRN, CPNP-PC</w:t>
      </w:r>
      <w:r w:rsidR="00A00A88">
        <w:rPr>
          <w:rFonts w:cs="Arial"/>
          <w:sz w:val="20"/>
          <w:szCs w:val="20"/>
        </w:rPr>
        <w:t xml:space="preserve"> (1,2), </w:t>
      </w:r>
      <w:r w:rsidR="007E38C3" w:rsidRPr="00F47BE6">
        <w:rPr>
          <w:rFonts w:cs="Arial"/>
          <w:sz w:val="20"/>
          <w:szCs w:val="20"/>
        </w:rPr>
        <w:t>Lisa Ross DeCamp, MD, MSPH</w:t>
      </w:r>
      <w:r w:rsidR="00A00A88">
        <w:rPr>
          <w:rFonts w:cs="Arial"/>
          <w:sz w:val="20"/>
          <w:szCs w:val="20"/>
        </w:rPr>
        <w:t xml:space="preserve"> (1,</w:t>
      </w:r>
      <w:r w:rsidR="003E697B">
        <w:rPr>
          <w:rFonts w:cs="Arial"/>
          <w:sz w:val="20"/>
          <w:szCs w:val="20"/>
        </w:rPr>
        <w:t xml:space="preserve">3,4), </w:t>
      </w:r>
      <w:r w:rsidR="007E38C3" w:rsidRPr="00F47BE6">
        <w:rPr>
          <w:rFonts w:cs="Arial"/>
          <w:sz w:val="20"/>
          <w:szCs w:val="20"/>
        </w:rPr>
        <w:t>Amanda Millar</w:t>
      </w:r>
      <w:r w:rsidR="003E697B">
        <w:rPr>
          <w:rFonts w:cs="Arial"/>
          <w:sz w:val="20"/>
          <w:szCs w:val="20"/>
        </w:rPr>
        <w:t xml:space="preserve"> (5), </w:t>
      </w:r>
      <w:r w:rsidR="007E38C3" w:rsidRPr="00F47BE6">
        <w:rPr>
          <w:rFonts w:cs="Arial"/>
          <w:sz w:val="20"/>
          <w:szCs w:val="20"/>
        </w:rPr>
        <w:t>Heather L. Smyth, PhD</w:t>
      </w:r>
      <w:r w:rsidR="003E697B">
        <w:rPr>
          <w:rFonts w:cs="Arial"/>
          <w:sz w:val="20"/>
          <w:szCs w:val="20"/>
        </w:rPr>
        <w:t xml:space="preserve"> (6), </w:t>
      </w:r>
      <w:r w:rsidR="007E38C3" w:rsidRPr="00F47BE6">
        <w:rPr>
          <w:rFonts w:cs="Arial"/>
          <w:sz w:val="20"/>
          <w:szCs w:val="20"/>
        </w:rPr>
        <w:t>Ayelet Talmi, PhD</w:t>
      </w:r>
      <w:r w:rsidR="003E697B">
        <w:rPr>
          <w:rFonts w:cs="Arial"/>
          <w:sz w:val="20"/>
          <w:szCs w:val="20"/>
        </w:rPr>
        <w:t xml:space="preserve"> (1,</w:t>
      </w:r>
      <w:r w:rsidR="00266661">
        <w:rPr>
          <w:rFonts w:cs="Arial"/>
          <w:sz w:val="20"/>
          <w:szCs w:val="20"/>
        </w:rPr>
        <w:t>3,5)</w:t>
      </w:r>
    </w:p>
    <w:p w14:paraId="75EC395E" w14:textId="77777777" w:rsidR="00A00A88" w:rsidRDefault="00A00A88" w:rsidP="00D36E11">
      <w:pPr>
        <w:spacing w:after="0" w:line="240" w:lineRule="auto"/>
        <w:rPr>
          <w:rFonts w:cs="Arial"/>
          <w:sz w:val="20"/>
          <w:szCs w:val="20"/>
        </w:rPr>
      </w:pPr>
    </w:p>
    <w:p w14:paraId="20D8E4C2" w14:textId="77777777" w:rsidR="00A00A88" w:rsidRPr="00A00A88" w:rsidRDefault="00A00A88" w:rsidP="00D36E11">
      <w:pPr>
        <w:spacing w:after="0" w:line="240" w:lineRule="auto"/>
        <w:rPr>
          <w:rFonts w:cs="Arial"/>
          <w:sz w:val="20"/>
          <w:szCs w:val="20"/>
        </w:rPr>
      </w:pPr>
      <w:r w:rsidRPr="00A00A88">
        <w:rPr>
          <w:rFonts w:cs="Arial"/>
          <w:sz w:val="20"/>
          <w:szCs w:val="20"/>
        </w:rPr>
        <w:t>(1) Children's Hospital Colorado</w:t>
      </w:r>
    </w:p>
    <w:p w14:paraId="3BCCB6A7" w14:textId="77777777" w:rsidR="00A00A88" w:rsidRPr="00A00A88" w:rsidRDefault="00A00A88" w:rsidP="00D36E11">
      <w:pPr>
        <w:spacing w:after="0" w:line="240" w:lineRule="auto"/>
        <w:rPr>
          <w:rFonts w:cs="Arial"/>
          <w:sz w:val="20"/>
          <w:szCs w:val="20"/>
        </w:rPr>
      </w:pPr>
      <w:r w:rsidRPr="00A00A88">
        <w:rPr>
          <w:rFonts w:cs="Arial"/>
          <w:sz w:val="20"/>
          <w:szCs w:val="20"/>
        </w:rPr>
        <w:t>(2) College of Nursing, University of Colorado Anschutz</w:t>
      </w:r>
    </w:p>
    <w:p w14:paraId="3787E5C8" w14:textId="77777777" w:rsidR="00A00A88" w:rsidRPr="00A00A88" w:rsidRDefault="00A00A88" w:rsidP="00D36E11">
      <w:pPr>
        <w:spacing w:after="0" w:line="240" w:lineRule="auto"/>
        <w:rPr>
          <w:rFonts w:cs="Arial"/>
          <w:sz w:val="20"/>
          <w:szCs w:val="20"/>
        </w:rPr>
      </w:pPr>
      <w:r w:rsidRPr="00A00A88">
        <w:rPr>
          <w:rFonts w:cs="Arial"/>
          <w:sz w:val="20"/>
          <w:szCs w:val="20"/>
        </w:rPr>
        <w:t>(3) Department of Pediatrics, University of Colorado School of Medicine</w:t>
      </w:r>
    </w:p>
    <w:p w14:paraId="7386FD93" w14:textId="77777777" w:rsidR="00A00A88" w:rsidRPr="00A00A88" w:rsidRDefault="00A00A88" w:rsidP="00D36E11">
      <w:pPr>
        <w:spacing w:after="0" w:line="240" w:lineRule="auto"/>
        <w:rPr>
          <w:rFonts w:cs="Arial"/>
          <w:sz w:val="20"/>
          <w:szCs w:val="20"/>
        </w:rPr>
      </w:pPr>
      <w:r w:rsidRPr="00A00A88">
        <w:rPr>
          <w:rFonts w:cs="Arial"/>
          <w:sz w:val="20"/>
          <w:szCs w:val="20"/>
        </w:rPr>
        <w:t>(4) Adult and Child Center for Outcomes Research and Delivery Science (ACCORDS), University of Colorado School of Medicine</w:t>
      </w:r>
    </w:p>
    <w:p w14:paraId="1CBADB07" w14:textId="77777777" w:rsidR="00A00A88" w:rsidRPr="00A00A88" w:rsidRDefault="00A00A88" w:rsidP="00D36E11">
      <w:pPr>
        <w:spacing w:after="0" w:line="240" w:lineRule="auto"/>
        <w:rPr>
          <w:rFonts w:cs="Arial"/>
          <w:sz w:val="20"/>
          <w:szCs w:val="20"/>
        </w:rPr>
      </w:pPr>
      <w:r w:rsidRPr="00A00A88">
        <w:rPr>
          <w:rFonts w:cs="Arial"/>
          <w:sz w:val="20"/>
          <w:szCs w:val="20"/>
        </w:rPr>
        <w:t>(5) Division of Child and Adolescent Mental Health, Department of Psychiatry, University of Colorado School of Medicine</w:t>
      </w:r>
    </w:p>
    <w:p w14:paraId="7CDA0C67" w14:textId="4771614D" w:rsidR="00A00A88" w:rsidRPr="00F47BE6" w:rsidRDefault="00A00A88" w:rsidP="00D36E11">
      <w:pPr>
        <w:spacing w:after="0" w:line="240" w:lineRule="auto"/>
        <w:rPr>
          <w:rFonts w:cs="Arial"/>
          <w:sz w:val="20"/>
          <w:szCs w:val="20"/>
        </w:rPr>
      </w:pPr>
      <w:r w:rsidRPr="00A00A88">
        <w:rPr>
          <w:rFonts w:cs="Arial"/>
          <w:sz w:val="20"/>
          <w:szCs w:val="20"/>
        </w:rPr>
        <w:t>(6) Department of Biostatistics and Informatics, Colorado School of Public Health, University of Colorado Anschutz</w:t>
      </w:r>
    </w:p>
    <w:p w14:paraId="6647637E" w14:textId="77777777" w:rsidR="00002CD7" w:rsidRDefault="00002CD7" w:rsidP="00D36E11">
      <w:pPr>
        <w:spacing w:after="0" w:line="240" w:lineRule="auto"/>
        <w:rPr>
          <w:rFonts w:cs="Arial"/>
          <w:sz w:val="20"/>
          <w:szCs w:val="20"/>
        </w:rPr>
      </w:pPr>
    </w:p>
    <w:p w14:paraId="71504B77" w14:textId="77777777" w:rsidR="00266661" w:rsidRPr="00F47BE6" w:rsidRDefault="00266661" w:rsidP="00D36E11">
      <w:pPr>
        <w:spacing w:after="0" w:line="240" w:lineRule="auto"/>
        <w:rPr>
          <w:rFonts w:cs="Arial"/>
          <w:sz w:val="20"/>
          <w:szCs w:val="20"/>
        </w:rPr>
      </w:pPr>
    </w:p>
    <w:p w14:paraId="44E09867" w14:textId="25CD5CE4" w:rsidR="00002CD7" w:rsidRPr="00E6795C" w:rsidRDefault="00A81665" w:rsidP="00D36E11">
      <w:pPr>
        <w:spacing w:after="0" w:line="240" w:lineRule="auto"/>
        <w:rPr>
          <w:rFonts w:cs="Arial"/>
          <w:sz w:val="20"/>
          <w:szCs w:val="20"/>
          <w:u w:val="single"/>
        </w:rPr>
      </w:pPr>
      <w:r>
        <w:rPr>
          <w:rFonts w:cs="Arial"/>
          <w:b/>
          <w:sz w:val="20"/>
          <w:szCs w:val="20"/>
          <w:u w:val="single"/>
        </w:rPr>
        <w:t xml:space="preserve">58. </w:t>
      </w:r>
      <w:r w:rsidR="007E38C3" w:rsidRPr="00E6795C">
        <w:rPr>
          <w:rFonts w:cs="Arial"/>
          <w:b/>
          <w:sz w:val="20"/>
          <w:szCs w:val="20"/>
          <w:u w:val="single"/>
        </w:rPr>
        <w:t>Adverse Child Experiences and Health Outcomes: Implications for Clinical Care</w:t>
      </w:r>
    </w:p>
    <w:p w14:paraId="50067745" w14:textId="77777777" w:rsidR="00E6795C" w:rsidRDefault="00E6795C" w:rsidP="00D36E11">
      <w:pPr>
        <w:spacing w:after="0" w:line="240" w:lineRule="auto"/>
        <w:rPr>
          <w:rFonts w:cs="Arial"/>
          <w:b/>
          <w:sz w:val="20"/>
          <w:szCs w:val="20"/>
        </w:rPr>
      </w:pPr>
    </w:p>
    <w:p w14:paraId="7743727E" w14:textId="0054CB43"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Lucy Rodriguez, University of Colorado School of Medicine</w:t>
      </w:r>
    </w:p>
    <w:p w14:paraId="49A74C73" w14:textId="77777777" w:rsidR="00E6795C" w:rsidRDefault="00E6795C" w:rsidP="00D36E11">
      <w:pPr>
        <w:spacing w:after="0" w:line="240" w:lineRule="auto"/>
        <w:rPr>
          <w:rFonts w:cs="Arial"/>
          <w:sz w:val="20"/>
          <w:szCs w:val="20"/>
        </w:rPr>
      </w:pPr>
    </w:p>
    <w:p w14:paraId="718C4C1F" w14:textId="0B160414" w:rsidR="00002CD7" w:rsidRPr="00F47BE6" w:rsidRDefault="007E38C3" w:rsidP="00D36E11">
      <w:pPr>
        <w:spacing w:after="0" w:line="240" w:lineRule="auto"/>
        <w:rPr>
          <w:rFonts w:cs="Arial"/>
          <w:sz w:val="20"/>
          <w:szCs w:val="20"/>
        </w:rPr>
      </w:pPr>
      <w:r w:rsidRPr="00E6795C">
        <w:rPr>
          <w:rFonts w:cs="Arial"/>
          <w:sz w:val="20"/>
          <w:szCs w:val="20"/>
          <w:u w:val="single"/>
        </w:rPr>
        <w:t>Background:</w:t>
      </w:r>
      <w:r w:rsidRPr="00F47BE6">
        <w:rPr>
          <w:rFonts w:cs="Arial"/>
          <w:sz w:val="20"/>
          <w:szCs w:val="20"/>
        </w:rPr>
        <w:t xml:space="preserve"> Adverse Childhood Experiences (ACEs) are potentially traumatic events such as exposure to abuse (physical, emotional, or sexual), emotional or physical neglect, or instability in the home (e.g., family member substance use, incarceration, or mental illness). Approximately 63% of adults in the United States have a history of exposure to at least one ACE. ACE exposure is associated with a wide range of negative health outcomes for children and adults. The aim of this study is to review literature regarding ACEs and health outcomes to identify intervention targets to improve quality of trauma-informed health care.  </w:t>
      </w:r>
      <w:r w:rsidRPr="00F47BE6">
        <w:rPr>
          <w:rFonts w:cs="Arial"/>
          <w:sz w:val="20"/>
          <w:szCs w:val="20"/>
        </w:rPr>
        <w:br/>
      </w:r>
      <w:r w:rsidRPr="00E6795C">
        <w:rPr>
          <w:rFonts w:cs="Arial"/>
          <w:sz w:val="20"/>
          <w:szCs w:val="20"/>
          <w:u w:val="single"/>
        </w:rPr>
        <w:t>Methods:</w:t>
      </w:r>
      <w:r w:rsidRPr="00F47BE6">
        <w:rPr>
          <w:rFonts w:cs="Arial"/>
          <w:sz w:val="20"/>
          <w:szCs w:val="20"/>
        </w:rPr>
        <w:t xml:space="preserve"> A literature review was conducted to evaluate associations between ACEs exposure and physical health, mental health, and eating behaviors. </w:t>
      </w:r>
      <w:r w:rsidRPr="00F47BE6">
        <w:rPr>
          <w:rFonts w:cs="Arial"/>
          <w:sz w:val="20"/>
          <w:szCs w:val="20"/>
        </w:rPr>
        <w:br/>
      </w:r>
      <w:r w:rsidRPr="00E6795C">
        <w:rPr>
          <w:rFonts w:cs="Arial"/>
          <w:sz w:val="20"/>
          <w:szCs w:val="20"/>
          <w:u w:val="single"/>
        </w:rPr>
        <w:t>Results:</w:t>
      </w:r>
      <w:r w:rsidRPr="00F47BE6">
        <w:rPr>
          <w:rFonts w:cs="Arial"/>
          <w:sz w:val="20"/>
          <w:szCs w:val="20"/>
        </w:rPr>
        <w:t xml:space="preserve"> This review included 47 studies: 10 examined physical health outcomes, 13 examined mental health outcomes, and 8 examined eating behaviors. Across studies, higher ACE exposure was associated with poorer health outcomes. ACEs were linked to higher incidence of cardiometabolic conditions, including obesity, hypertension and cardiovascular disease. Experiencing ACEs was also associated with increased frequency of mood and anxiety disorders, and unhealthy dietary behaviors such as eating to regulate emotions . </w:t>
      </w:r>
      <w:r w:rsidRPr="00F47BE6">
        <w:rPr>
          <w:rFonts w:cs="Arial"/>
          <w:sz w:val="20"/>
          <w:szCs w:val="20"/>
        </w:rPr>
        <w:br/>
      </w:r>
      <w:r w:rsidRPr="00E6795C">
        <w:rPr>
          <w:rFonts w:cs="Arial"/>
          <w:sz w:val="20"/>
          <w:szCs w:val="20"/>
          <w:u w:val="single"/>
        </w:rPr>
        <w:t>Conclusions:</w:t>
      </w:r>
      <w:r w:rsidRPr="00F47BE6">
        <w:rPr>
          <w:rFonts w:cs="Arial"/>
          <w:sz w:val="20"/>
          <w:szCs w:val="20"/>
        </w:rPr>
        <w:t xml:space="preserve"> Overall, evidence indicates that ACEs are associated with negative physical and mental health outcomes, and unhealthy eating behaviors. Research suggests that some protective factors, such as support programs and access to mental health services, can reduce the impact of ACEs. Specifically, using a trauma-informed approach is recommended. Trauma-informed care includes recognizing and addressing the prevalence and effect of trauma within health care and can have positive effects on patient satisfaction and health outcomes. Interventions to enhance  the quality of trauma-informed health care are needed to improve patient health outcomes.</w:t>
      </w:r>
    </w:p>
    <w:p w14:paraId="33CE4C7C" w14:textId="77777777" w:rsidR="00E6795C" w:rsidRDefault="00E6795C" w:rsidP="00D36E11">
      <w:pPr>
        <w:spacing w:after="0" w:line="240" w:lineRule="auto"/>
        <w:rPr>
          <w:rFonts w:cs="Arial"/>
          <w:b/>
          <w:sz w:val="20"/>
          <w:szCs w:val="20"/>
        </w:rPr>
      </w:pPr>
    </w:p>
    <w:p w14:paraId="2E51474F" w14:textId="6BF1BD7C"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Lucy Rodriguez</w:t>
      </w:r>
      <w:r w:rsidR="00A00427">
        <w:rPr>
          <w:rFonts w:cs="Arial"/>
          <w:sz w:val="20"/>
          <w:szCs w:val="20"/>
        </w:rPr>
        <w:t xml:space="preserve"> (1)</w:t>
      </w:r>
      <w:r w:rsidR="007E38C3" w:rsidRPr="00F47BE6">
        <w:rPr>
          <w:rFonts w:cs="Arial"/>
          <w:sz w:val="20"/>
          <w:szCs w:val="20"/>
        </w:rPr>
        <w:t>, Elizabeth Bollinger</w:t>
      </w:r>
      <w:r w:rsidR="00692E59">
        <w:rPr>
          <w:rFonts w:cs="Arial"/>
          <w:sz w:val="20"/>
          <w:szCs w:val="20"/>
        </w:rPr>
        <w:t xml:space="preserve"> (1)</w:t>
      </w:r>
      <w:r w:rsidR="007E38C3" w:rsidRPr="00F47BE6">
        <w:rPr>
          <w:rFonts w:cs="Arial"/>
          <w:sz w:val="20"/>
          <w:szCs w:val="20"/>
        </w:rPr>
        <w:t>, Lucy Rewerts</w:t>
      </w:r>
      <w:r w:rsidR="00692E59">
        <w:rPr>
          <w:rFonts w:cs="Arial"/>
          <w:sz w:val="20"/>
          <w:szCs w:val="20"/>
        </w:rPr>
        <w:t xml:space="preserve"> (2)</w:t>
      </w:r>
      <w:r w:rsidR="007E38C3" w:rsidRPr="00F47BE6">
        <w:rPr>
          <w:rFonts w:cs="Arial"/>
          <w:sz w:val="20"/>
          <w:szCs w:val="20"/>
        </w:rPr>
        <w:t>, Maggie Edgerley</w:t>
      </w:r>
      <w:r w:rsidR="00692E59">
        <w:rPr>
          <w:rFonts w:cs="Arial"/>
          <w:sz w:val="20"/>
          <w:szCs w:val="20"/>
        </w:rPr>
        <w:t xml:space="preserve"> (</w:t>
      </w:r>
      <w:r w:rsidR="006266B1">
        <w:rPr>
          <w:rFonts w:cs="Arial"/>
          <w:sz w:val="20"/>
          <w:szCs w:val="20"/>
        </w:rPr>
        <w:t>1)</w:t>
      </w:r>
      <w:r w:rsidR="007E38C3" w:rsidRPr="00F47BE6">
        <w:rPr>
          <w:rFonts w:cs="Arial"/>
          <w:sz w:val="20"/>
          <w:szCs w:val="20"/>
        </w:rPr>
        <w:t>, Genesis Sanchez</w:t>
      </w:r>
      <w:r w:rsidR="006266B1">
        <w:rPr>
          <w:rFonts w:cs="Arial"/>
          <w:sz w:val="20"/>
          <w:szCs w:val="20"/>
        </w:rPr>
        <w:t xml:space="preserve"> (1)</w:t>
      </w:r>
      <w:r w:rsidR="007E38C3" w:rsidRPr="00F47BE6">
        <w:rPr>
          <w:rFonts w:cs="Arial"/>
          <w:sz w:val="20"/>
          <w:szCs w:val="20"/>
        </w:rPr>
        <w:t>, Tanner Schmitz</w:t>
      </w:r>
      <w:r w:rsidR="006266B1">
        <w:rPr>
          <w:rFonts w:cs="Arial"/>
          <w:sz w:val="20"/>
          <w:szCs w:val="20"/>
        </w:rPr>
        <w:t xml:space="preserve"> (1)</w:t>
      </w:r>
      <w:r w:rsidR="007E38C3" w:rsidRPr="00F47BE6">
        <w:rPr>
          <w:rFonts w:cs="Arial"/>
          <w:sz w:val="20"/>
          <w:szCs w:val="20"/>
        </w:rPr>
        <w:t>, Jerica M. Berge</w:t>
      </w:r>
      <w:r w:rsidR="006266B1">
        <w:rPr>
          <w:rFonts w:cs="Arial"/>
          <w:sz w:val="20"/>
          <w:szCs w:val="20"/>
        </w:rPr>
        <w:t xml:space="preserve"> (1,3)</w:t>
      </w:r>
    </w:p>
    <w:p w14:paraId="306F3758" w14:textId="77777777" w:rsidR="00A00427" w:rsidRDefault="00A00427" w:rsidP="00D36E11">
      <w:pPr>
        <w:spacing w:after="0" w:line="240" w:lineRule="auto"/>
        <w:rPr>
          <w:rFonts w:cs="Arial"/>
          <w:sz w:val="20"/>
          <w:szCs w:val="20"/>
        </w:rPr>
      </w:pPr>
    </w:p>
    <w:p w14:paraId="40531004" w14:textId="77777777" w:rsidR="00A00427" w:rsidRPr="00A00427" w:rsidRDefault="00A00427" w:rsidP="00D36E11">
      <w:pPr>
        <w:widowControl w:val="0"/>
        <w:autoSpaceDE w:val="0"/>
        <w:autoSpaceDN w:val="0"/>
        <w:spacing w:after="0" w:line="240" w:lineRule="auto"/>
        <w:rPr>
          <w:rFonts w:eastAsia="Arial" w:cs="Arial"/>
          <w:sz w:val="20"/>
          <w:szCs w:val="20"/>
          <w:lang w:bidi="en-US"/>
        </w:rPr>
      </w:pPr>
      <w:r w:rsidRPr="00A00427">
        <w:rPr>
          <w:rFonts w:eastAsia="Arial" w:cs="Arial"/>
          <w:sz w:val="20"/>
          <w:szCs w:val="20"/>
          <w:lang w:bidi="en-US"/>
        </w:rPr>
        <w:t>(1) Adult and Child Center for Outcomes Research and Delivery Science (ACCORDS), University of Colorado Anschutz</w:t>
      </w:r>
    </w:p>
    <w:p w14:paraId="4D9A349B" w14:textId="76888B56" w:rsidR="00A00427" w:rsidRDefault="00A00427" w:rsidP="00D36E11">
      <w:pPr>
        <w:widowControl w:val="0"/>
        <w:autoSpaceDE w:val="0"/>
        <w:autoSpaceDN w:val="0"/>
        <w:spacing w:after="0" w:line="240" w:lineRule="auto"/>
        <w:rPr>
          <w:rFonts w:eastAsia="Arial" w:cs="Arial"/>
          <w:sz w:val="20"/>
          <w:szCs w:val="20"/>
          <w:lang w:bidi="en-US"/>
        </w:rPr>
      </w:pPr>
      <w:r w:rsidRPr="00A00427">
        <w:rPr>
          <w:rFonts w:eastAsia="Arial" w:cs="Arial"/>
          <w:sz w:val="20"/>
          <w:szCs w:val="20"/>
          <w:lang w:bidi="en-US"/>
        </w:rPr>
        <w:t xml:space="preserve">(2) University of Colorado </w:t>
      </w:r>
      <w:r w:rsidR="00692E59">
        <w:rPr>
          <w:rFonts w:eastAsia="Arial" w:cs="Arial"/>
          <w:sz w:val="20"/>
          <w:szCs w:val="20"/>
          <w:lang w:bidi="en-US"/>
        </w:rPr>
        <w:t>School of Medicine</w:t>
      </w:r>
    </w:p>
    <w:p w14:paraId="2C47CB07" w14:textId="20844359" w:rsidR="00692E59" w:rsidRPr="00A00427" w:rsidRDefault="00692E59" w:rsidP="00D36E11">
      <w:pPr>
        <w:widowControl w:val="0"/>
        <w:autoSpaceDE w:val="0"/>
        <w:autoSpaceDN w:val="0"/>
        <w:spacing w:after="0" w:line="240" w:lineRule="auto"/>
        <w:rPr>
          <w:rFonts w:eastAsia="Arial" w:cs="Arial"/>
          <w:sz w:val="20"/>
          <w:szCs w:val="20"/>
          <w:lang w:bidi="en-US"/>
        </w:rPr>
      </w:pPr>
      <w:r w:rsidRPr="00A00427">
        <w:rPr>
          <w:rFonts w:eastAsia="Arial" w:cs="Arial"/>
          <w:sz w:val="20"/>
          <w:szCs w:val="20"/>
          <w:lang w:bidi="en-US"/>
        </w:rPr>
        <w:t>(</w:t>
      </w:r>
      <w:r w:rsidR="006266B1">
        <w:rPr>
          <w:rFonts w:eastAsia="Arial" w:cs="Arial"/>
          <w:sz w:val="20"/>
          <w:szCs w:val="20"/>
          <w:lang w:bidi="en-US"/>
        </w:rPr>
        <w:t>3</w:t>
      </w:r>
      <w:r w:rsidRPr="00A00427">
        <w:rPr>
          <w:rFonts w:eastAsia="Arial" w:cs="Arial"/>
          <w:sz w:val="20"/>
          <w:szCs w:val="20"/>
          <w:lang w:bidi="en-US"/>
        </w:rPr>
        <w:t>) Department of Family Medicine, University of Colorado Anschutz</w:t>
      </w:r>
    </w:p>
    <w:p w14:paraId="7B51DCF9" w14:textId="77777777" w:rsidR="00A00427" w:rsidRPr="00F47BE6" w:rsidRDefault="00A00427" w:rsidP="00D36E11">
      <w:pPr>
        <w:spacing w:after="0" w:line="240" w:lineRule="auto"/>
        <w:rPr>
          <w:rFonts w:cs="Arial"/>
          <w:sz w:val="20"/>
          <w:szCs w:val="20"/>
        </w:rPr>
      </w:pPr>
    </w:p>
    <w:p w14:paraId="7F2979E3" w14:textId="77777777" w:rsidR="00002CD7" w:rsidRPr="00F47BE6" w:rsidRDefault="00002CD7" w:rsidP="00D36E11">
      <w:pPr>
        <w:spacing w:after="0" w:line="240" w:lineRule="auto"/>
        <w:rPr>
          <w:rFonts w:cs="Arial"/>
          <w:sz w:val="20"/>
          <w:szCs w:val="20"/>
        </w:rPr>
      </w:pPr>
    </w:p>
    <w:p w14:paraId="1474D6EB" w14:textId="4072C7E2" w:rsidR="00002CD7" w:rsidRPr="00156E42" w:rsidRDefault="00A81665" w:rsidP="00D36E11">
      <w:pPr>
        <w:spacing w:after="0" w:line="240" w:lineRule="auto"/>
        <w:rPr>
          <w:rFonts w:cs="Arial"/>
          <w:sz w:val="20"/>
          <w:szCs w:val="20"/>
          <w:u w:val="single"/>
        </w:rPr>
      </w:pPr>
      <w:r>
        <w:rPr>
          <w:rFonts w:cs="Arial"/>
          <w:b/>
          <w:sz w:val="20"/>
          <w:szCs w:val="20"/>
          <w:u w:val="single"/>
        </w:rPr>
        <w:lastRenderedPageBreak/>
        <w:t xml:space="preserve">59. </w:t>
      </w:r>
      <w:r w:rsidR="007E38C3" w:rsidRPr="00156E42">
        <w:rPr>
          <w:rFonts w:cs="Arial"/>
          <w:b/>
          <w:sz w:val="20"/>
          <w:szCs w:val="20"/>
          <w:u w:val="single"/>
        </w:rPr>
        <w:t>Substance use and disorder ED visits and 180-day outcomes in an urban safety net hospital</w:t>
      </w:r>
    </w:p>
    <w:p w14:paraId="5CD1C8F1" w14:textId="77777777" w:rsidR="00156E42" w:rsidRDefault="00156E42" w:rsidP="00D36E11">
      <w:pPr>
        <w:spacing w:after="0" w:line="240" w:lineRule="auto"/>
        <w:rPr>
          <w:rFonts w:cs="Arial"/>
          <w:b/>
          <w:sz w:val="20"/>
          <w:szCs w:val="20"/>
        </w:rPr>
      </w:pPr>
    </w:p>
    <w:p w14:paraId="6165B9C7" w14:textId="52212693"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Jessica Rast, Denver Health</w:t>
      </w:r>
    </w:p>
    <w:p w14:paraId="3A71CB0D" w14:textId="77777777" w:rsidR="00156E42" w:rsidRDefault="00156E42" w:rsidP="00D36E11">
      <w:pPr>
        <w:spacing w:after="0" w:line="240" w:lineRule="auto"/>
        <w:rPr>
          <w:rFonts w:cs="Arial"/>
          <w:sz w:val="20"/>
          <w:szCs w:val="20"/>
        </w:rPr>
      </w:pPr>
    </w:p>
    <w:p w14:paraId="16950147" w14:textId="23545E50" w:rsidR="00002CD7" w:rsidRPr="00F47BE6" w:rsidRDefault="007E38C3" w:rsidP="00D36E11">
      <w:pPr>
        <w:spacing w:after="0" w:line="240" w:lineRule="auto"/>
        <w:rPr>
          <w:rFonts w:cs="Arial"/>
          <w:sz w:val="20"/>
          <w:szCs w:val="20"/>
        </w:rPr>
      </w:pPr>
      <w:r w:rsidRPr="00156E42">
        <w:rPr>
          <w:rFonts w:cs="Arial"/>
          <w:sz w:val="20"/>
          <w:szCs w:val="20"/>
          <w:u w:val="single"/>
        </w:rPr>
        <w:t>Background:</w:t>
      </w:r>
      <w:r w:rsidRPr="00F47BE6">
        <w:rPr>
          <w:rFonts w:cs="Arial"/>
          <w:sz w:val="20"/>
          <w:szCs w:val="20"/>
        </w:rPr>
        <w:t xml:space="preserve"> Substance use (SU) and substance use disorder (SUD) is often untreated, which can lead to poor health and negative outcomes. SU/SUD often co-occurs with psychiatric conditions, complicating care and health outcomes. The purpose of this study is to characterize SU/SUD stays for patients in an urban safety net hospital overall and by type of substance and summarize differences in ED revisits and mortality by age, presence of psychiatric conditions, and substance types. </w:t>
      </w:r>
      <w:r w:rsidRPr="00F47BE6">
        <w:rPr>
          <w:rFonts w:cs="Arial"/>
          <w:sz w:val="20"/>
          <w:szCs w:val="20"/>
        </w:rPr>
        <w:br/>
      </w:r>
      <w:r w:rsidRPr="00156E42">
        <w:rPr>
          <w:rFonts w:cs="Arial"/>
          <w:sz w:val="20"/>
          <w:szCs w:val="20"/>
          <w:u w:val="single"/>
        </w:rPr>
        <w:t>Methods:</w:t>
      </w:r>
      <w:r w:rsidRPr="00F47BE6">
        <w:rPr>
          <w:rFonts w:cs="Arial"/>
          <w:sz w:val="20"/>
          <w:szCs w:val="20"/>
        </w:rPr>
        <w:t xml:space="preserve"> The sample for this study included all ED visits to the Denver Health adult and pediatric EDs between January 1, 2020, and December 31, </w:t>
      </w:r>
      <w:proofErr w:type="gramStart"/>
      <w:r w:rsidRPr="00F47BE6">
        <w:rPr>
          <w:rFonts w:cs="Arial"/>
          <w:sz w:val="20"/>
          <w:szCs w:val="20"/>
        </w:rPr>
        <w:t>2025</w:t>
      </w:r>
      <w:proofErr w:type="gramEnd"/>
      <w:r w:rsidRPr="00F47BE6">
        <w:rPr>
          <w:rFonts w:cs="Arial"/>
          <w:sz w:val="20"/>
          <w:szCs w:val="20"/>
        </w:rPr>
        <w:t xml:space="preserve"> for youth (ages 12-17 years), young adults (ages 18-25), and adults (ages 26-100). The main outcome was revisit to the ED with SU/SUD within 180 days of discharge from the index SU/SUD ED visit. The second outcome was mortality within 180 days using a linkage to mortality vital records. We used competing-risks time-to-event regression models to examine the association of substance and presence of a psychotic condition with each outcome of interest. </w:t>
      </w:r>
      <w:r w:rsidRPr="00F47BE6">
        <w:rPr>
          <w:rFonts w:cs="Arial"/>
          <w:sz w:val="20"/>
          <w:szCs w:val="20"/>
        </w:rPr>
        <w:br/>
      </w:r>
      <w:r w:rsidRPr="00156E42">
        <w:rPr>
          <w:rFonts w:cs="Arial"/>
          <w:sz w:val="20"/>
          <w:szCs w:val="20"/>
          <w:u w:val="single"/>
        </w:rPr>
        <w:t>Results:</w:t>
      </w:r>
      <w:r w:rsidRPr="00F47BE6">
        <w:rPr>
          <w:rFonts w:cs="Arial"/>
          <w:sz w:val="20"/>
          <w:szCs w:val="20"/>
        </w:rPr>
        <w:t xml:space="preserve"> Of all ED stays, 13.2% for youth, 19.2% for young adults, and 29.2% for adults were related to SU/SUD, and psychotic conditions were more common in these visits. Among index ED visits for youth, 12.8% had a subsequent SUD ED visit within 180 days of discharge, as did 10.2% of young adults and 15.4% of adults. For all age groups, psychotic conditions and opioid use were associated with greater hazard of ED SU/SUD revisit within 180 days, as was homelessness. Mortality was less common: among young adults &lt;1% among young adults and 3.1% among adults. </w:t>
      </w:r>
      <w:r w:rsidRPr="00F47BE6">
        <w:rPr>
          <w:rFonts w:cs="Arial"/>
          <w:sz w:val="20"/>
          <w:szCs w:val="20"/>
        </w:rPr>
        <w:br/>
      </w:r>
      <w:r w:rsidRPr="00156E42">
        <w:rPr>
          <w:rFonts w:cs="Arial"/>
          <w:sz w:val="20"/>
          <w:szCs w:val="20"/>
          <w:u w:val="single"/>
        </w:rPr>
        <w:t>Discussion/Conclusions:</w:t>
      </w:r>
      <w:r w:rsidRPr="00F47BE6">
        <w:rPr>
          <w:rFonts w:cs="Arial"/>
          <w:sz w:val="20"/>
          <w:szCs w:val="20"/>
        </w:rPr>
        <w:t xml:space="preserve"> SU/SUD visits are common in the ED, and understanding ways to increase connection to outpatient care can improve population health, targeting vulnerable groups with particular risk of ED use.</w:t>
      </w:r>
    </w:p>
    <w:p w14:paraId="4B3B3FFD" w14:textId="77777777" w:rsidR="00156E42" w:rsidRDefault="00156E42" w:rsidP="00D36E11">
      <w:pPr>
        <w:spacing w:after="0" w:line="240" w:lineRule="auto"/>
        <w:rPr>
          <w:rFonts w:cs="Arial"/>
          <w:b/>
          <w:sz w:val="20"/>
          <w:szCs w:val="20"/>
        </w:rPr>
      </w:pPr>
    </w:p>
    <w:p w14:paraId="6D5ECF8A" w14:textId="0C65002B" w:rsidR="00002CD7" w:rsidRPr="00F47BE6"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Jessica E. Rast</w:t>
      </w:r>
      <w:r w:rsidR="00156E42">
        <w:rPr>
          <w:rFonts w:cs="Arial"/>
          <w:sz w:val="20"/>
          <w:szCs w:val="20"/>
        </w:rPr>
        <w:t xml:space="preserve"> (1,2)</w:t>
      </w:r>
      <w:r w:rsidR="007E38C3" w:rsidRPr="00F47BE6">
        <w:rPr>
          <w:rFonts w:cs="Arial"/>
          <w:sz w:val="20"/>
          <w:szCs w:val="20"/>
        </w:rPr>
        <w:t>, Kathleen Joseph</w:t>
      </w:r>
      <w:r w:rsidR="00156E42">
        <w:rPr>
          <w:rFonts w:cs="Arial"/>
          <w:sz w:val="20"/>
          <w:szCs w:val="20"/>
        </w:rPr>
        <w:t xml:space="preserve"> (1,2,3)</w:t>
      </w:r>
      <w:r w:rsidR="007E38C3" w:rsidRPr="00F47BE6">
        <w:rPr>
          <w:rFonts w:cs="Arial"/>
          <w:sz w:val="20"/>
          <w:szCs w:val="20"/>
        </w:rPr>
        <w:t>, John Moore</w:t>
      </w:r>
      <w:r w:rsidR="00156E42">
        <w:rPr>
          <w:rFonts w:cs="Arial"/>
          <w:sz w:val="20"/>
          <w:szCs w:val="20"/>
        </w:rPr>
        <w:t xml:space="preserve"> (4)</w:t>
      </w:r>
      <w:r w:rsidR="007E38C3" w:rsidRPr="00F47BE6">
        <w:rPr>
          <w:rFonts w:cs="Arial"/>
          <w:sz w:val="20"/>
          <w:szCs w:val="20"/>
        </w:rPr>
        <w:t>, Emily Caruso</w:t>
      </w:r>
      <w:r w:rsidR="00156E42">
        <w:rPr>
          <w:rFonts w:cs="Arial"/>
          <w:sz w:val="20"/>
          <w:szCs w:val="20"/>
        </w:rPr>
        <w:t xml:space="preserve"> (1)</w:t>
      </w:r>
      <w:r w:rsidR="007E38C3" w:rsidRPr="00F47BE6">
        <w:rPr>
          <w:rFonts w:cs="Arial"/>
          <w:sz w:val="20"/>
          <w:szCs w:val="20"/>
        </w:rPr>
        <w:t>, Josh Barocas</w:t>
      </w:r>
      <w:r w:rsidR="001647D9">
        <w:rPr>
          <w:rFonts w:cs="Arial"/>
          <w:sz w:val="20"/>
          <w:szCs w:val="20"/>
        </w:rPr>
        <w:t>,</w:t>
      </w:r>
      <w:r w:rsidR="007E38C3" w:rsidRPr="00F47BE6">
        <w:rPr>
          <w:rFonts w:cs="Arial"/>
          <w:sz w:val="20"/>
          <w:szCs w:val="20"/>
        </w:rPr>
        <w:t xml:space="preserve"> Taylor McCormick</w:t>
      </w:r>
      <w:r w:rsidR="001647D9">
        <w:rPr>
          <w:rFonts w:cs="Arial"/>
          <w:sz w:val="20"/>
          <w:szCs w:val="20"/>
        </w:rPr>
        <w:t xml:space="preserve"> (1,2)</w:t>
      </w:r>
      <w:r w:rsidR="007E38C3" w:rsidRPr="00F47BE6">
        <w:rPr>
          <w:rFonts w:cs="Arial"/>
          <w:sz w:val="20"/>
          <w:szCs w:val="20"/>
        </w:rPr>
        <w:t>, Erin Soares</w:t>
      </w:r>
      <w:r w:rsidR="001647D9">
        <w:rPr>
          <w:rFonts w:cs="Arial"/>
          <w:sz w:val="20"/>
          <w:szCs w:val="20"/>
        </w:rPr>
        <w:t xml:space="preserve"> (5,6)</w:t>
      </w:r>
      <w:r w:rsidR="007E38C3" w:rsidRPr="00F47BE6">
        <w:rPr>
          <w:rFonts w:cs="Arial"/>
          <w:sz w:val="20"/>
          <w:szCs w:val="20"/>
        </w:rPr>
        <w:t>, Debbie Rinehart</w:t>
      </w:r>
      <w:r w:rsidR="001647D9">
        <w:rPr>
          <w:rFonts w:cs="Arial"/>
          <w:sz w:val="20"/>
          <w:szCs w:val="20"/>
        </w:rPr>
        <w:t xml:space="preserve"> (7,8)</w:t>
      </w:r>
      <w:r w:rsidR="007E38C3" w:rsidRPr="00F47BE6">
        <w:rPr>
          <w:rFonts w:cs="Arial"/>
          <w:sz w:val="20"/>
          <w:szCs w:val="20"/>
        </w:rPr>
        <w:t>, Austin Jones</w:t>
      </w:r>
      <w:r w:rsidR="001647D9">
        <w:rPr>
          <w:rFonts w:cs="Arial"/>
          <w:sz w:val="20"/>
          <w:szCs w:val="20"/>
        </w:rPr>
        <w:t xml:space="preserve"> (1,2)</w:t>
      </w:r>
      <w:r w:rsidR="007E38C3" w:rsidRPr="00F47BE6">
        <w:rPr>
          <w:rFonts w:cs="Arial"/>
          <w:sz w:val="20"/>
          <w:szCs w:val="20"/>
        </w:rPr>
        <w:t>, Jason Haukoos</w:t>
      </w:r>
      <w:r w:rsidR="001647D9">
        <w:rPr>
          <w:rFonts w:cs="Arial"/>
          <w:sz w:val="20"/>
          <w:szCs w:val="20"/>
        </w:rPr>
        <w:t xml:space="preserve"> (1,2,3,9)</w:t>
      </w:r>
      <w:r w:rsidR="007E38C3" w:rsidRPr="00F47BE6">
        <w:rPr>
          <w:rFonts w:cs="Arial"/>
          <w:sz w:val="20"/>
          <w:szCs w:val="20"/>
        </w:rPr>
        <w:br/>
      </w:r>
      <w:r w:rsidR="007E38C3" w:rsidRPr="00F47BE6">
        <w:rPr>
          <w:rFonts w:cs="Arial"/>
          <w:sz w:val="20"/>
          <w:szCs w:val="20"/>
        </w:rPr>
        <w:br/>
      </w:r>
      <w:r w:rsidR="00156E42">
        <w:rPr>
          <w:rFonts w:cs="Arial"/>
          <w:sz w:val="20"/>
          <w:szCs w:val="20"/>
        </w:rPr>
        <w:t xml:space="preserve">(1) </w:t>
      </w:r>
      <w:r w:rsidR="007E38C3" w:rsidRPr="00F47BE6">
        <w:rPr>
          <w:rFonts w:cs="Arial"/>
          <w:sz w:val="20"/>
          <w:szCs w:val="20"/>
        </w:rPr>
        <w:t>Department of Emergency Medicine, Denver Health</w:t>
      </w:r>
      <w:r w:rsidR="007E38C3" w:rsidRPr="00F47BE6">
        <w:rPr>
          <w:rFonts w:cs="Arial"/>
          <w:sz w:val="20"/>
          <w:szCs w:val="20"/>
        </w:rPr>
        <w:br/>
      </w:r>
      <w:r w:rsidR="00156E42">
        <w:rPr>
          <w:rFonts w:cs="Arial"/>
          <w:sz w:val="20"/>
          <w:szCs w:val="20"/>
        </w:rPr>
        <w:t xml:space="preserve">(2) </w:t>
      </w:r>
      <w:r w:rsidR="007E38C3" w:rsidRPr="00F47BE6">
        <w:rPr>
          <w:rFonts w:cs="Arial"/>
          <w:sz w:val="20"/>
          <w:szCs w:val="20"/>
        </w:rPr>
        <w:t>Department of Emergency Medicine, University of Colorado School of Medicine</w:t>
      </w:r>
      <w:r w:rsidR="007E38C3" w:rsidRPr="00F47BE6">
        <w:rPr>
          <w:rFonts w:cs="Arial"/>
          <w:sz w:val="20"/>
          <w:szCs w:val="20"/>
        </w:rPr>
        <w:br/>
      </w:r>
      <w:r w:rsidR="00156E42">
        <w:rPr>
          <w:rFonts w:cs="Arial"/>
          <w:sz w:val="20"/>
          <w:szCs w:val="20"/>
        </w:rPr>
        <w:t xml:space="preserve">(3) </w:t>
      </w:r>
      <w:r w:rsidR="007E38C3" w:rsidRPr="00F47BE6">
        <w:rPr>
          <w:rFonts w:cs="Arial"/>
          <w:sz w:val="20"/>
          <w:szCs w:val="20"/>
        </w:rPr>
        <w:t>Colorado Social Emergency Medicine Collaborative</w:t>
      </w:r>
      <w:r w:rsidR="007E38C3" w:rsidRPr="00F47BE6">
        <w:rPr>
          <w:rFonts w:cs="Arial"/>
          <w:sz w:val="20"/>
          <w:szCs w:val="20"/>
        </w:rPr>
        <w:br/>
      </w:r>
      <w:r w:rsidR="00156E42">
        <w:rPr>
          <w:rFonts w:cs="Arial"/>
          <w:sz w:val="20"/>
          <w:szCs w:val="20"/>
        </w:rPr>
        <w:t xml:space="preserve">(4) </w:t>
      </w:r>
      <w:r w:rsidR="007E38C3" w:rsidRPr="00F47BE6">
        <w:rPr>
          <w:rFonts w:cs="Arial"/>
          <w:sz w:val="20"/>
          <w:szCs w:val="20"/>
        </w:rPr>
        <w:t>School of Social Work, Florida State University</w:t>
      </w:r>
      <w:r w:rsidR="007E38C3" w:rsidRPr="00F47BE6">
        <w:rPr>
          <w:rFonts w:cs="Arial"/>
          <w:sz w:val="20"/>
          <w:szCs w:val="20"/>
        </w:rPr>
        <w:br/>
      </w:r>
      <w:r w:rsidR="00156E42">
        <w:rPr>
          <w:rFonts w:cs="Arial"/>
          <w:sz w:val="20"/>
          <w:szCs w:val="20"/>
        </w:rPr>
        <w:t xml:space="preserve">(5) </w:t>
      </w:r>
      <w:r w:rsidR="007E38C3" w:rsidRPr="00F47BE6">
        <w:rPr>
          <w:rFonts w:cs="Arial"/>
          <w:sz w:val="20"/>
          <w:szCs w:val="20"/>
        </w:rPr>
        <w:t xml:space="preserve">Department of Psychiatry, Denver Health </w:t>
      </w:r>
      <w:r w:rsidR="007E38C3" w:rsidRPr="00F47BE6">
        <w:rPr>
          <w:rFonts w:cs="Arial"/>
          <w:sz w:val="20"/>
          <w:szCs w:val="20"/>
        </w:rPr>
        <w:br/>
      </w:r>
      <w:r w:rsidR="00156E42">
        <w:rPr>
          <w:rFonts w:cs="Arial"/>
          <w:sz w:val="20"/>
          <w:szCs w:val="20"/>
        </w:rPr>
        <w:t xml:space="preserve">(6) </w:t>
      </w:r>
      <w:r w:rsidR="007E38C3" w:rsidRPr="00F47BE6">
        <w:rPr>
          <w:rFonts w:cs="Arial"/>
          <w:sz w:val="20"/>
          <w:szCs w:val="20"/>
        </w:rPr>
        <w:t>Department of Psychiatry, University of Colorado School of Medicine</w:t>
      </w:r>
      <w:r w:rsidR="007E38C3" w:rsidRPr="00F47BE6">
        <w:rPr>
          <w:rFonts w:cs="Arial"/>
          <w:sz w:val="20"/>
          <w:szCs w:val="20"/>
        </w:rPr>
        <w:br/>
      </w:r>
      <w:r w:rsidR="00156E42">
        <w:rPr>
          <w:rFonts w:cs="Arial"/>
          <w:sz w:val="20"/>
          <w:szCs w:val="20"/>
        </w:rPr>
        <w:t xml:space="preserve">(7) </w:t>
      </w:r>
      <w:r w:rsidR="007E38C3" w:rsidRPr="00F47BE6">
        <w:rPr>
          <w:rFonts w:cs="Arial"/>
          <w:sz w:val="20"/>
          <w:szCs w:val="20"/>
        </w:rPr>
        <w:t>Center for Health Systems Research, Office of Research, Denver Health</w:t>
      </w:r>
      <w:r w:rsidR="007E38C3" w:rsidRPr="00F47BE6">
        <w:rPr>
          <w:rFonts w:cs="Arial"/>
          <w:sz w:val="20"/>
          <w:szCs w:val="20"/>
        </w:rPr>
        <w:br/>
      </w:r>
      <w:r w:rsidR="00156E42">
        <w:rPr>
          <w:rFonts w:cs="Arial"/>
          <w:sz w:val="20"/>
          <w:szCs w:val="20"/>
        </w:rPr>
        <w:t xml:space="preserve">(8) </w:t>
      </w:r>
      <w:r w:rsidR="007E38C3" w:rsidRPr="00F47BE6">
        <w:rPr>
          <w:rFonts w:cs="Arial"/>
          <w:sz w:val="20"/>
          <w:szCs w:val="20"/>
        </w:rPr>
        <w:t>Division of General Internal Medicine, Department of Medicine, University of Colorado School of Medicine</w:t>
      </w:r>
      <w:r w:rsidR="007E38C3" w:rsidRPr="00F47BE6">
        <w:rPr>
          <w:rFonts w:cs="Arial"/>
          <w:sz w:val="20"/>
          <w:szCs w:val="20"/>
        </w:rPr>
        <w:br/>
      </w:r>
      <w:r w:rsidR="00156E42">
        <w:rPr>
          <w:rFonts w:cs="Arial"/>
          <w:sz w:val="20"/>
          <w:szCs w:val="20"/>
        </w:rPr>
        <w:t xml:space="preserve">(9) </w:t>
      </w:r>
      <w:r w:rsidR="007E38C3" w:rsidRPr="00F47BE6">
        <w:rPr>
          <w:rFonts w:cs="Arial"/>
          <w:sz w:val="20"/>
          <w:szCs w:val="20"/>
        </w:rPr>
        <w:t>Department of Epidemiology, Colorado School of Public Health</w:t>
      </w:r>
    </w:p>
    <w:p w14:paraId="694CDDA9" w14:textId="77777777" w:rsidR="00002CD7" w:rsidRDefault="00002CD7" w:rsidP="00D36E11">
      <w:pPr>
        <w:spacing w:after="0" w:line="240" w:lineRule="auto"/>
        <w:rPr>
          <w:rFonts w:cs="Arial"/>
          <w:sz w:val="20"/>
          <w:szCs w:val="20"/>
        </w:rPr>
      </w:pPr>
    </w:p>
    <w:p w14:paraId="380A5B13" w14:textId="77777777" w:rsidR="00E6795C" w:rsidRPr="00F47BE6" w:rsidRDefault="00E6795C" w:rsidP="00D36E11">
      <w:pPr>
        <w:spacing w:after="0" w:line="240" w:lineRule="auto"/>
        <w:rPr>
          <w:rFonts w:cs="Arial"/>
          <w:sz w:val="20"/>
          <w:szCs w:val="20"/>
        </w:rPr>
      </w:pPr>
    </w:p>
    <w:p w14:paraId="5636D84B" w14:textId="2C9479BB" w:rsidR="00002CD7" w:rsidRPr="00751DA1" w:rsidRDefault="001A40F5" w:rsidP="00D36E11">
      <w:pPr>
        <w:spacing w:after="0" w:line="240" w:lineRule="auto"/>
        <w:rPr>
          <w:rFonts w:cs="Arial"/>
          <w:sz w:val="20"/>
          <w:szCs w:val="20"/>
          <w:u w:val="single"/>
        </w:rPr>
      </w:pPr>
      <w:r>
        <w:rPr>
          <w:rFonts w:cs="Arial"/>
          <w:b/>
          <w:sz w:val="20"/>
          <w:szCs w:val="20"/>
          <w:u w:val="single"/>
        </w:rPr>
        <w:t xml:space="preserve">60. </w:t>
      </w:r>
      <w:r w:rsidR="007E38C3" w:rsidRPr="00751DA1">
        <w:rPr>
          <w:rFonts w:cs="Arial"/>
          <w:b/>
          <w:sz w:val="20"/>
          <w:szCs w:val="20"/>
          <w:u w:val="single"/>
        </w:rPr>
        <w:t>Differences in Outpatient and Residential Treatment Discontinuation across Substance Use Disorders</w:t>
      </w:r>
    </w:p>
    <w:p w14:paraId="11A9C2AF" w14:textId="77777777" w:rsidR="006104A9" w:rsidRDefault="006104A9" w:rsidP="00D36E11">
      <w:pPr>
        <w:spacing w:after="0" w:line="240" w:lineRule="auto"/>
        <w:rPr>
          <w:rFonts w:cs="Arial"/>
          <w:b/>
          <w:sz w:val="20"/>
          <w:szCs w:val="20"/>
        </w:rPr>
      </w:pPr>
    </w:p>
    <w:p w14:paraId="1114A677" w14:textId="6C72F83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Alexander Kramer, University of Colorado School of Medicine</w:t>
      </w:r>
    </w:p>
    <w:p w14:paraId="2EC4BC54" w14:textId="77777777" w:rsidR="006104A9" w:rsidRDefault="006104A9" w:rsidP="00D36E11">
      <w:pPr>
        <w:spacing w:after="0" w:line="240" w:lineRule="auto"/>
        <w:rPr>
          <w:rFonts w:cs="Arial"/>
          <w:b/>
          <w:bCs/>
          <w:sz w:val="20"/>
          <w:szCs w:val="20"/>
        </w:rPr>
      </w:pPr>
    </w:p>
    <w:p w14:paraId="6042E850" w14:textId="389E5F8F"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Sustained participation in outpatient and residential substance use disorder treatment improves outcomes. Understanding differences in treatment discontinuation across substance use disorders can inform targeted interventions to improve treatment retention.</w:t>
      </w:r>
      <w:r w:rsidRPr="00F47BE6">
        <w:rPr>
          <w:rFonts w:cs="Arial"/>
          <w:sz w:val="20"/>
          <w:szCs w:val="20"/>
        </w:rPr>
        <w:br/>
      </w:r>
      <w:r w:rsidRPr="00751DA1">
        <w:rPr>
          <w:rFonts w:cs="Arial"/>
          <w:sz w:val="20"/>
          <w:szCs w:val="20"/>
          <w:u w:val="single"/>
        </w:rPr>
        <w:t>Methods</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 xml:space="preserve">We conducted a cross-sectional analysis of the 2023 Treatment Episode Data Set Discharges (TEDS-D) to examine differences in outpatient and residential treatment discontinuation across substances. TEDS-D contains administrative data from addiction treatment programs across the US. We categorized treatment episodes based on primary substance use at admission: alcohol, benzodiazepines, cannabis, opioids, or stimulants. The outcome was premature treatment discontinuation, defined as dropout, termination by the facility, incarceration, or death. We compared rates of treatment discontinuation across primary substances using chi-square and marginal probabilities adjusted for demographic, socioeconomic substance use, and treatment factors. </w:t>
      </w:r>
      <w:r w:rsidRPr="00F47BE6">
        <w:rPr>
          <w:rFonts w:cs="Arial"/>
          <w:sz w:val="20"/>
          <w:szCs w:val="20"/>
        </w:rPr>
        <w:br/>
      </w:r>
      <w:r w:rsidRPr="00751DA1">
        <w:rPr>
          <w:rFonts w:cs="Arial"/>
          <w:sz w:val="20"/>
          <w:szCs w:val="20"/>
          <w:u w:val="single"/>
        </w:rPr>
        <w:t>Results</w:t>
      </w:r>
      <w:r w:rsidR="00CD1F86" w:rsidRPr="00751DA1">
        <w:rPr>
          <w:rFonts w:cs="Arial"/>
          <w:sz w:val="20"/>
          <w:szCs w:val="20"/>
          <w:u w:val="single"/>
        </w:rPr>
        <w:t>:</w:t>
      </w:r>
      <w:r w:rsidR="00CD1F86">
        <w:rPr>
          <w:rFonts w:cs="Arial"/>
          <w:sz w:val="20"/>
          <w:szCs w:val="20"/>
        </w:rPr>
        <w:t xml:space="preserve"> </w:t>
      </w:r>
      <w:r w:rsidRPr="00F47BE6">
        <w:rPr>
          <w:rFonts w:cs="Arial"/>
          <w:sz w:val="20"/>
          <w:szCs w:val="20"/>
        </w:rPr>
        <w:t xml:space="preserve">We identified 720,330 outpatient (median age 35-44 years, 35% female, 17% Black, 13% Hispanic) and 249,934 residential treatment episodes (median age 35-44 years, 33% female, 20% Black, 16% Hispanic). Overall, 36% of outpatient and 31% of residential treatment episodes were discontinued prematurely. Rates in outpatient treatment were highest for cannabis (42%), followed by stimulants (40%), alcohol (36%), benzodiazepines (31%), and opioids (31%) (p&lt;0.001); Rates in residential treatment were highest for opioids (35.3%), followed by stimulants (33.3%), cannabis (32.9%), benzodiazepines (28.3%), and alcohol (25.0%) (p&lt;0.001). After adjustment, outpatient discontinuation rates were higher for all four substances compared to </w:t>
      </w:r>
      <w:r w:rsidRPr="00F47BE6">
        <w:rPr>
          <w:rFonts w:cs="Arial"/>
          <w:sz w:val="20"/>
          <w:szCs w:val="20"/>
        </w:rPr>
        <w:lastRenderedPageBreak/>
        <w:t>alcohol, and residential discontinuation rates were higher for all substances except benzodiazepines. Early treatment discontinuation was highest for outpatient opioids (8.0 percentage points higher than alcohol [95% CI, 7.7-8.2]) and residential cannabis (7.7 percentage points higher than alcohol [95% CI 6.9-8.4]).</w:t>
      </w:r>
      <w:r w:rsidRPr="00F47BE6">
        <w:rPr>
          <w:rFonts w:cs="Arial"/>
          <w:sz w:val="20"/>
          <w:szCs w:val="20"/>
        </w:rPr>
        <w:br/>
      </w:r>
      <w:r w:rsidRPr="00751DA1">
        <w:rPr>
          <w:rFonts w:cs="Arial"/>
          <w:sz w:val="20"/>
          <w:szCs w:val="20"/>
          <w:u w:val="single"/>
        </w:rPr>
        <w:t>Conclusion</w:t>
      </w:r>
      <w:r w:rsidR="005B1604" w:rsidRPr="00751DA1">
        <w:rPr>
          <w:rFonts w:cs="Arial"/>
          <w:sz w:val="20"/>
          <w:szCs w:val="20"/>
          <w:u w:val="single"/>
        </w:rPr>
        <w:t>:</w:t>
      </w:r>
      <w:r w:rsidR="005B1604">
        <w:rPr>
          <w:rFonts w:cs="Arial"/>
          <w:sz w:val="20"/>
          <w:szCs w:val="20"/>
        </w:rPr>
        <w:t xml:space="preserve"> </w:t>
      </w:r>
      <w:r w:rsidRPr="00F47BE6">
        <w:rPr>
          <w:rFonts w:cs="Arial"/>
          <w:sz w:val="20"/>
          <w:szCs w:val="20"/>
        </w:rPr>
        <w:t>In this national sample, one in three outpatient and residential substance use disorder treatment episodes were discontinued prematurely. Interventions are needed to improve substance use treatment retention, particularly for opioid, stimulant, and cannabis use disorders.</w:t>
      </w:r>
    </w:p>
    <w:p w14:paraId="73AF1293" w14:textId="77777777" w:rsidR="006104A9" w:rsidRDefault="006104A9" w:rsidP="00D36E11">
      <w:pPr>
        <w:spacing w:after="0" w:line="240" w:lineRule="auto"/>
        <w:rPr>
          <w:rFonts w:cs="Arial"/>
          <w:b/>
          <w:sz w:val="20"/>
          <w:szCs w:val="20"/>
        </w:rPr>
      </w:pPr>
    </w:p>
    <w:p w14:paraId="01D7310A" w14:textId="4C79B204"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Alex Kramer</w:t>
      </w:r>
      <w:r w:rsidR="00B47DB5">
        <w:rPr>
          <w:rFonts w:cs="Arial"/>
          <w:sz w:val="20"/>
          <w:szCs w:val="20"/>
        </w:rPr>
        <w:t xml:space="preserve"> (1), </w:t>
      </w:r>
      <w:r w:rsidR="007E38C3" w:rsidRPr="00F47BE6">
        <w:rPr>
          <w:rFonts w:cs="Arial"/>
          <w:sz w:val="20"/>
          <w:szCs w:val="20"/>
        </w:rPr>
        <w:t>Erin Bredenberg, MD</w:t>
      </w:r>
      <w:r w:rsidR="00B47DB5">
        <w:rPr>
          <w:rFonts w:cs="Arial"/>
          <w:sz w:val="20"/>
          <w:szCs w:val="20"/>
        </w:rPr>
        <w:t xml:space="preserve">, </w:t>
      </w:r>
      <w:r w:rsidR="007E38C3" w:rsidRPr="00F47BE6">
        <w:rPr>
          <w:rFonts w:cs="Arial"/>
          <w:sz w:val="20"/>
          <w:szCs w:val="20"/>
        </w:rPr>
        <w:t>Paul Christine, MD, PhD</w:t>
      </w:r>
      <w:r w:rsidR="00B47DB5">
        <w:rPr>
          <w:rFonts w:cs="Arial"/>
          <w:sz w:val="20"/>
          <w:szCs w:val="20"/>
        </w:rPr>
        <w:t xml:space="preserve">, </w:t>
      </w:r>
      <w:r w:rsidR="007E38C3" w:rsidRPr="00F47BE6">
        <w:rPr>
          <w:rFonts w:cs="Arial"/>
          <w:sz w:val="20"/>
          <w:szCs w:val="20"/>
        </w:rPr>
        <w:t>Eden Y. Bernstein, MD., MPH.</w:t>
      </w:r>
      <w:r w:rsidR="00B47DB5">
        <w:rPr>
          <w:rFonts w:cs="Arial"/>
          <w:sz w:val="20"/>
          <w:szCs w:val="20"/>
        </w:rPr>
        <w:t xml:space="preserve"> (2)</w:t>
      </w:r>
    </w:p>
    <w:p w14:paraId="2B92C579" w14:textId="77777777" w:rsidR="006104A9" w:rsidRDefault="006104A9" w:rsidP="00D36E11">
      <w:pPr>
        <w:spacing w:after="0" w:line="240" w:lineRule="auto"/>
        <w:rPr>
          <w:sz w:val="20"/>
          <w:szCs w:val="20"/>
        </w:rPr>
      </w:pPr>
    </w:p>
    <w:p w14:paraId="0CC264FE" w14:textId="1E688A6A" w:rsidR="00B408B9" w:rsidRDefault="00B408B9" w:rsidP="00D36E11">
      <w:pPr>
        <w:spacing w:after="0" w:line="240" w:lineRule="auto"/>
        <w:rPr>
          <w:sz w:val="20"/>
          <w:szCs w:val="20"/>
        </w:rPr>
      </w:pPr>
      <w:r>
        <w:rPr>
          <w:sz w:val="20"/>
          <w:szCs w:val="20"/>
        </w:rPr>
        <w:t>(1)</w:t>
      </w:r>
      <w:r w:rsidRPr="00F47BE6">
        <w:rPr>
          <w:rFonts w:cs="Arial"/>
          <w:sz w:val="20"/>
          <w:szCs w:val="20"/>
        </w:rPr>
        <w:t xml:space="preserve"> University of Colorado School of Medicine</w:t>
      </w:r>
    </w:p>
    <w:p w14:paraId="18A92311" w14:textId="77777777" w:rsidR="00B408B9" w:rsidRPr="00F47BE6" w:rsidRDefault="00B408B9" w:rsidP="00D36E11">
      <w:pPr>
        <w:spacing w:after="0" w:line="240" w:lineRule="auto"/>
        <w:rPr>
          <w:rFonts w:cs="Arial"/>
          <w:sz w:val="20"/>
          <w:szCs w:val="20"/>
        </w:rPr>
      </w:pPr>
      <w:r>
        <w:rPr>
          <w:sz w:val="20"/>
          <w:szCs w:val="20"/>
        </w:rPr>
        <w:t xml:space="preserve">(2) </w:t>
      </w:r>
      <w:r w:rsidRPr="00F47BE6">
        <w:rPr>
          <w:rFonts w:cs="Arial"/>
          <w:sz w:val="20"/>
          <w:szCs w:val="20"/>
        </w:rPr>
        <w:t>Division of Hospital Medicine, Department of Medicine, University of Colorado School of Medicine</w:t>
      </w:r>
    </w:p>
    <w:p w14:paraId="60DCAC14" w14:textId="77777777" w:rsidR="00B408B9" w:rsidRDefault="00B408B9" w:rsidP="00D36E11">
      <w:pPr>
        <w:spacing w:after="0" w:line="240" w:lineRule="auto"/>
        <w:rPr>
          <w:rFonts w:cs="Arial"/>
          <w:sz w:val="20"/>
          <w:szCs w:val="20"/>
        </w:rPr>
      </w:pPr>
    </w:p>
    <w:p w14:paraId="1862820E" w14:textId="77777777" w:rsidR="006104A9" w:rsidRPr="00F47BE6" w:rsidRDefault="006104A9" w:rsidP="00D36E11">
      <w:pPr>
        <w:spacing w:after="0" w:line="240" w:lineRule="auto"/>
        <w:rPr>
          <w:rFonts w:cs="Arial"/>
          <w:sz w:val="20"/>
          <w:szCs w:val="20"/>
        </w:rPr>
      </w:pPr>
    </w:p>
    <w:p w14:paraId="329700F9" w14:textId="7A6631AA" w:rsidR="00002CD7" w:rsidRPr="00266661" w:rsidRDefault="007673A4" w:rsidP="00D36E11">
      <w:pPr>
        <w:spacing w:after="0" w:line="240" w:lineRule="auto"/>
        <w:rPr>
          <w:rFonts w:cs="Arial"/>
          <w:sz w:val="20"/>
          <w:szCs w:val="20"/>
          <w:u w:val="single"/>
        </w:rPr>
      </w:pPr>
      <w:r>
        <w:rPr>
          <w:rFonts w:cs="Arial"/>
          <w:b/>
          <w:sz w:val="20"/>
          <w:szCs w:val="20"/>
          <w:u w:val="single"/>
        </w:rPr>
        <w:t xml:space="preserve">61. </w:t>
      </w:r>
      <w:r w:rsidR="007E38C3" w:rsidRPr="00266661">
        <w:rPr>
          <w:rFonts w:cs="Arial"/>
          <w:b/>
          <w:sz w:val="20"/>
          <w:szCs w:val="20"/>
          <w:u w:val="single"/>
        </w:rPr>
        <w:t>From Crisis to Connection: A Qualitative Evaluation of the THRIVE Peer Recovery Program</w:t>
      </w:r>
    </w:p>
    <w:p w14:paraId="5A56ED9F" w14:textId="77777777" w:rsidR="00266661" w:rsidRDefault="00266661" w:rsidP="00D36E11">
      <w:pPr>
        <w:spacing w:after="0" w:line="240" w:lineRule="auto"/>
        <w:rPr>
          <w:rFonts w:cs="Arial"/>
          <w:b/>
          <w:sz w:val="20"/>
          <w:szCs w:val="20"/>
        </w:rPr>
      </w:pPr>
    </w:p>
    <w:p w14:paraId="660D0F8B" w14:textId="1C7F4A6D"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Madison Stiglich, Denver Health</w:t>
      </w:r>
    </w:p>
    <w:p w14:paraId="57273613" w14:textId="77777777" w:rsidR="00266661" w:rsidRDefault="00266661" w:rsidP="00D36E11">
      <w:pPr>
        <w:spacing w:after="0" w:line="240" w:lineRule="auto"/>
        <w:rPr>
          <w:rFonts w:cs="Arial"/>
          <w:sz w:val="20"/>
          <w:szCs w:val="20"/>
        </w:rPr>
      </w:pPr>
    </w:p>
    <w:p w14:paraId="1E1A4574" w14:textId="53E6C52D" w:rsidR="00002CD7" w:rsidRPr="00F47BE6" w:rsidRDefault="007E38C3" w:rsidP="00D36E11">
      <w:pPr>
        <w:spacing w:after="0" w:line="240" w:lineRule="auto"/>
        <w:rPr>
          <w:rFonts w:cs="Arial"/>
          <w:sz w:val="20"/>
          <w:szCs w:val="20"/>
        </w:rPr>
      </w:pPr>
      <w:r w:rsidRPr="00266661">
        <w:rPr>
          <w:rFonts w:cs="Arial"/>
          <w:sz w:val="20"/>
          <w:szCs w:val="20"/>
          <w:u w:val="single"/>
        </w:rPr>
        <w:t>Background:</w:t>
      </w:r>
      <w:r w:rsidRPr="00F47BE6">
        <w:rPr>
          <w:rFonts w:cs="Arial"/>
          <w:sz w:val="20"/>
          <w:szCs w:val="20"/>
        </w:rPr>
        <w:t xml:space="preserve"> Peer recovery services are increasingly used to support individuals living with substance use disorders (SUD) and have been linked to positive SUD treatment outcomes. However, less is known about how these programs can be optimized within safety-net health systems. The Transforming Health by Reducing Inequities for the Vulnerable (THRIVE) program embeds certified peer recovery specialists (PRS) across the SUD continuum at Denver Health. This evaluation aimed to identify implementation strengths, barriers, and opportunities for program improvement.</w:t>
      </w:r>
      <w:r w:rsidRPr="00F47BE6">
        <w:rPr>
          <w:rFonts w:cs="Arial"/>
          <w:sz w:val="20"/>
          <w:szCs w:val="20"/>
        </w:rPr>
        <w:br/>
      </w:r>
      <w:r w:rsidRPr="00266661">
        <w:rPr>
          <w:rFonts w:cs="Arial"/>
          <w:sz w:val="20"/>
          <w:szCs w:val="20"/>
          <w:u w:val="single"/>
        </w:rPr>
        <w:t>Methods:</w:t>
      </w:r>
      <w:r w:rsidRPr="00F47BE6">
        <w:rPr>
          <w:rFonts w:cs="Arial"/>
          <w:sz w:val="20"/>
          <w:szCs w:val="20"/>
        </w:rPr>
        <w:t xml:space="preserve"> Semi-structured key informant interviews were conducted with patients (n=17), alongside focus groups with PRS, referral partners, and program leaders. Interviews included individuals with varying levels of program engagement to explore facilitators and barriers to engagement with a peer. Data were analyzed using a rapid matrix approach informed by the Practical, Robust Implementation and Sustainability Model (PRISM) to identify themes related to implementation strengths, barriers, and opportunities for program improvement. </w:t>
      </w:r>
      <w:r w:rsidRPr="00F47BE6">
        <w:rPr>
          <w:rFonts w:cs="Arial"/>
          <w:sz w:val="20"/>
          <w:szCs w:val="20"/>
        </w:rPr>
        <w:br/>
      </w:r>
      <w:r w:rsidRPr="00266661">
        <w:rPr>
          <w:rFonts w:cs="Arial"/>
          <w:sz w:val="20"/>
          <w:szCs w:val="20"/>
          <w:u w:val="single"/>
        </w:rPr>
        <w:t>Results:</w:t>
      </w:r>
      <w:r w:rsidRPr="00F47BE6">
        <w:rPr>
          <w:rFonts w:cs="Arial"/>
          <w:sz w:val="20"/>
          <w:szCs w:val="20"/>
        </w:rPr>
        <w:t xml:space="preserve"> Patients consistently described PRS as providing trusted, nonjudgmental relationships and practical support navigating healthcare and social services. Although peer support was viewed as an important resource throughout the non-linear recovery process, many participants expressed uncertainty about the duration of services and experienced the transition out of the program as abrupt. Focus groups reinforced peers' unique role in humanizing care while identifying implementation challenges. Referral partners were unclear about peer roles, referral pathways, and integration into clinical workflows. These findings directly informed program enhancements, including extending peer support from 8 to 12 weeks with individualized extensions, implementing a patient-centered wellness plan to support goal setting, expanding provider education to clarify peer roles, and redesigning workflows. </w:t>
      </w:r>
      <w:r w:rsidRPr="00F47BE6">
        <w:rPr>
          <w:rFonts w:cs="Arial"/>
          <w:sz w:val="20"/>
          <w:szCs w:val="20"/>
        </w:rPr>
        <w:br/>
      </w:r>
      <w:r w:rsidRPr="00266661">
        <w:rPr>
          <w:rFonts w:cs="Arial"/>
          <w:sz w:val="20"/>
          <w:szCs w:val="20"/>
          <w:u w:val="single"/>
        </w:rPr>
        <w:t>Conclusion:</w:t>
      </w:r>
      <w:r w:rsidRPr="00F47BE6">
        <w:rPr>
          <w:rFonts w:cs="Arial"/>
          <w:sz w:val="20"/>
          <w:szCs w:val="20"/>
        </w:rPr>
        <w:t xml:space="preserve"> This evaluation identified actionable opportunities to strengthen implementation of an integrated peer recovery program within a safety-net health system. Findings directly informed improvements to program design, workflows, and workforce development. Together, these changes strengthen patient-centered recovery support.</w:t>
      </w:r>
    </w:p>
    <w:p w14:paraId="6F1B78C1" w14:textId="77777777" w:rsidR="00266661" w:rsidRDefault="00266661" w:rsidP="00D36E11">
      <w:pPr>
        <w:spacing w:after="0" w:line="240" w:lineRule="auto"/>
        <w:rPr>
          <w:rFonts w:cs="Arial"/>
          <w:b/>
          <w:sz w:val="20"/>
          <w:szCs w:val="20"/>
        </w:rPr>
      </w:pPr>
    </w:p>
    <w:p w14:paraId="70E73394" w14:textId="6DD6B377"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Karina Duarte, MPH</w:t>
      </w:r>
      <w:r w:rsidR="002060A1">
        <w:rPr>
          <w:rFonts w:cs="Arial"/>
          <w:sz w:val="20"/>
          <w:szCs w:val="20"/>
        </w:rPr>
        <w:t xml:space="preserve"> (1), </w:t>
      </w:r>
      <w:r w:rsidR="007E38C3" w:rsidRPr="00F47BE6">
        <w:rPr>
          <w:rFonts w:cs="Arial"/>
          <w:sz w:val="20"/>
          <w:szCs w:val="20"/>
        </w:rPr>
        <w:t>Madison Stiglich, MPH</w:t>
      </w:r>
      <w:r w:rsidR="002060A1">
        <w:rPr>
          <w:rFonts w:cs="Arial"/>
          <w:sz w:val="20"/>
          <w:szCs w:val="20"/>
        </w:rPr>
        <w:t xml:space="preserve"> (2), </w:t>
      </w:r>
      <w:r w:rsidR="007E38C3" w:rsidRPr="00F47BE6">
        <w:rPr>
          <w:rFonts w:cs="Arial"/>
          <w:sz w:val="20"/>
          <w:szCs w:val="20"/>
        </w:rPr>
        <w:t>Stacy Forget, LPC</w:t>
      </w:r>
      <w:r w:rsidR="002060A1">
        <w:rPr>
          <w:rFonts w:cs="Arial"/>
          <w:sz w:val="20"/>
          <w:szCs w:val="20"/>
        </w:rPr>
        <w:t xml:space="preserve"> (3), </w:t>
      </w:r>
      <w:r w:rsidR="007E38C3" w:rsidRPr="00F47BE6">
        <w:rPr>
          <w:rFonts w:cs="Arial"/>
          <w:sz w:val="20"/>
          <w:szCs w:val="20"/>
        </w:rPr>
        <w:t>Scott Simpson, MD, MPH</w:t>
      </w:r>
      <w:r w:rsidR="002060A1">
        <w:rPr>
          <w:rFonts w:cs="Arial"/>
          <w:sz w:val="20"/>
          <w:szCs w:val="20"/>
        </w:rPr>
        <w:t xml:space="preserve"> (4), </w:t>
      </w:r>
      <w:r w:rsidR="007E38C3" w:rsidRPr="00F47BE6">
        <w:rPr>
          <w:rFonts w:cs="Arial"/>
          <w:sz w:val="20"/>
          <w:szCs w:val="20"/>
        </w:rPr>
        <w:t>Deborah Rinehart, PhD</w:t>
      </w:r>
      <w:r w:rsidR="002060A1">
        <w:rPr>
          <w:rFonts w:cs="Arial"/>
          <w:sz w:val="20"/>
          <w:szCs w:val="20"/>
        </w:rPr>
        <w:t xml:space="preserve"> (1</w:t>
      </w:r>
      <w:r w:rsidR="00650756">
        <w:rPr>
          <w:rFonts w:cs="Arial"/>
          <w:sz w:val="20"/>
          <w:szCs w:val="20"/>
        </w:rPr>
        <w:t xml:space="preserve">,5), </w:t>
      </w:r>
      <w:r w:rsidR="007E38C3" w:rsidRPr="00F47BE6">
        <w:rPr>
          <w:rFonts w:cs="Arial"/>
          <w:sz w:val="20"/>
          <w:szCs w:val="20"/>
        </w:rPr>
        <w:t>Sarah Stella, MD</w:t>
      </w:r>
      <w:r w:rsidR="00650756">
        <w:rPr>
          <w:rFonts w:cs="Arial"/>
          <w:sz w:val="20"/>
          <w:szCs w:val="20"/>
        </w:rPr>
        <w:t xml:space="preserve"> (6,7)</w:t>
      </w:r>
    </w:p>
    <w:p w14:paraId="19C35EB7" w14:textId="77777777" w:rsidR="002060A1" w:rsidRDefault="002060A1" w:rsidP="00D36E11">
      <w:pPr>
        <w:spacing w:after="0" w:line="240" w:lineRule="auto"/>
        <w:rPr>
          <w:rFonts w:cs="Arial"/>
          <w:sz w:val="20"/>
          <w:szCs w:val="20"/>
        </w:rPr>
      </w:pPr>
    </w:p>
    <w:p w14:paraId="1525BD55" w14:textId="77777777" w:rsidR="002060A1" w:rsidRPr="002060A1" w:rsidRDefault="002060A1" w:rsidP="00D36E11">
      <w:pPr>
        <w:spacing w:after="0" w:line="240" w:lineRule="auto"/>
        <w:rPr>
          <w:rFonts w:cs="Arial"/>
          <w:sz w:val="20"/>
          <w:szCs w:val="20"/>
        </w:rPr>
      </w:pPr>
      <w:r w:rsidRPr="002060A1">
        <w:rPr>
          <w:rFonts w:cs="Arial"/>
          <w:sz w:val="20"/>
          <w:szCs w:val="20"/>
        </w:rPr>
        <w:t>(1) Center for Health Systems Research, Denver Health and Hospital Authority</w:t>
      </w:r>
    </w:p>
    <w:p w14:paraId="63DD1335" w14:textId="77777777" w:rsidR="002060A1" w:rsidRPr="002060A1" w:rsidRDefault="002060A1" w:rsidP="00D36E11">
      <w:pPr>
        <w:spacing w:after="0" w:line="240" w:lineRule="auto"/>
        <w:rPr>
          <w:rFonts w:cs="Arial"/>
          <w:sz w:val="20"/>
          <w:szCs w:val="20"/>
        </w:rPr>
      </w:pPr>
      <w:r w:rsidRPr="002060A1">
        <w:rPr>
          <w:rFonts w:cs="Arial"/>
          <w:sz w:val="20"/>
          <w:szCs w:val="20"/>
        </w:rPr>
        <w:t>(2) Department of Emergency Medicine, Denver Health and Hospital Authority</w:t>
      </w:r>
    </w:p>
    <w:p w14:paraId="3336D456" w14:textId="77777777" w:rsidR="002060A1" w:rsidRPr="002060A1" w:rsidRDefault="002060A1" w:rsidP="00D36E11">
      <w:pPr>
        <w:spacing w:after="0" w:line="240" w:lineRule="auto"/>
        <w:rPr>
          <w:rFonts w:cs="Arial"/>
          <w:sz w:val="20"/>
          <w:szCs w:val="20"/>
        </w:rPr>
      </w:pPr>
      <w:r w:rsidRPr="002060A1">
        <w:rPr>
          <w:rFonts w:cs="Arial"/>
          <w:sz w:val="20"/>
          <w:szCs w:val="20"/>
        </w:rPr>
        <w:t>(3) Behavioral Health Services, Denver Health and Hospital Authority</w:t>
      </w:r>
    </w:p>
    <w:p w14:paraId="597CB94A" w14:textId="77777777" w:rsidR="002060A1" w:rsidRPr="002060A1" w:rsidRDefault="002060A1" w:rsidP="00D36E11">
      <w:pPr>
        <w:spacing w:after="0" w:line="240" w:lineRule="auto"/>
        <w:rPr>
          <w:rFonts w:cs="Arial"/>
          <w:sz w:val="20"/>
          <w:szCs w:val="20"/>
        </w:rPr>
      </w:pPr>
      <w:r w:rsidRPr="002060A1">
        <w:rPr>
          <w:rFonts w:cs="Arial"/>
          <w:sz w:val="20"/>
          <w:szCs w:val="20"/>
        </w:rPr>
        <w:t>(4) Department of Psychiatry, University of Colorado Anschutz</w:t>
      </w:r>
    </w:p>
    <w:p w14:paraId="20DD21C1" w14:textId="77777777" w:rsidR="002060A1" w:rsidRPr="002060A1" w:rsidRDefault="002060A1" w:rsidP="00D36E11">
      <w:pPr>
        <w:spacing w:after="0" w:line="240" w:lineRule="auto"/>
        <w:rPr>
          <w:rFonts w:cs="Arial"/>
          <w:sz w:val="20"/>
          <w:szCs w:val="20"/>
        </w:rPr>
      </w:pPr>
      <w:r w:rsidRPr="002060A1">
        <w:rPr>
          <w:rFonts w:cs="Arial"/>
          <w:sz w:val="20"/>
          <w:szCs w:val="20"/>
        </w:rPr>
        <w:t>(5) Division of General Internal Medicine, University of Colorado Anschutz</w:t>
      </w:r>
    </w:p>
    <w:p w14:paraId="5E64A2BB" w14:textId="77777777" w:rsidR="002060A1" w:rsidRPr="002060A1" w:rsidRDefault="002060A1" w:rsidP="00D36E11">
      <w:pPr>
        <w:spacing w:after="0" w:line="240" w:lineRule="auto"/>
        <w:rPr>
          <w:rFonts w:cs="Arial"/>
          <w:sz w:val="20"/>
          <w:szCs w:val="20"/>
        </w:rPr>
      </w:pPr>
      <w:r w:rsidRPr="002060A1">
        <w:rPr>
          <w:rFonts w:cs="Arial"/>
          <w:sz w:val="20"/>
          <w:szCs w:val="20"/>
        </w:rPr>
        <w:t>(6) Department of Medicine, Denver Health and Hospital Authority</w:t>
      </w:r>
    </w:p>
    <w:p w14:paraId="0965746F" w14:textId="55C3D3EC" w:rsidR="002060A1" w:rsidRPr="00F47BE6" w:rsidRDefault="002060A1" w:rsidP="00D36E11">
      <w:pPr>
        <w:spacing w:after="0" w:line="240" w:lineRule="auto"/>
        <w:rPr>
          <w:rFonts w:cs="Arial"/>
          <w:sz w:val="20"/>
          <w:szCs w:val="20"/>
        </w:rPr>
      </w:pPr>
      <w:r w:rsidRPr="002060A1">
        <w:rPr>
          <w:rFonts w:cs="Arial"/>
          <w:sz w:val="20"/>
          <w:szCs w:val="20"/>
        </w:rPr>
        <w:t>(7) Division of Hospital Medicine, University of Colorado Anschutz</w:t>
      </w:r>
    </w:p>
    <w:p w14:paraId="70B296B2" w14:textId="77777777" w:rsidR="00002CD7" w:rsidRDefault="00002CD7" w:rsidP="00D36E11">
      <w:pPr>
        <w:spacing w:after="0" w:line="240" w:lineRule="auto"/>
        <w:rPr>
          <w:rFonts w:cs="Arial"/>
          <w:sz w:val="20"/>
          <w:szCs w:val="20"/>
        </w:rPr>
      </w:pPr>
    </w:p>
    <w:p w14:paraId="533B7C01" w14:textId="77777777" w:rsidR="00650756" w:rsidRPr="00F47BE6" w:rsidRDefault="00650756" w:rsidP="00D36E11">
      <w:pPr>
        <w:spacing w:after="0" w:line="240" w:lineRule="auto"/>
        <w:rPr>
          <w:rFonts w:cs="Arial"/>
          <w:sz w:val="20"/>
          <w:szCs w:val="20"/>
        </w:rPr>
      </w:pPr>
    </w:p>
    <w:p w14:paraId="09BA584B" w14:textId="51C4E58E" w:rsidR="00002CD7" w:rsidRPr="0064744A" w:rsidRDefault="005620AD" w:rsidP="00D36E11">
      <w:pPr>
        <w:spacing w:after="0" w:line="240" w:lineRule="auto"/>
        <w:rPr>
          <w:rFonts w:cs="Arial"/>
          <w:sz w:val="20"/>
          <w:szCs w:val="20"/>
          <w:u w:val="single"/>
        </w:rPr>
      </w:pPr>
      <w:r>
        <w:rPr>
          <w:rFonts w:cs="Arial"/>
          <w:b/>
          <w:sz w:val="20"/>
          <w:szCs w:val="20"/>
          <w:u w:val="single"/>
        </w:rPr>
        <w:br w:type="column"/>
      </w:r>
      <w:r w:rsidR="0090339C">
        <w:rPr>
          <w:rFonts w:cs="Arial"/>
          <w:b/>
          <w:sz w:val="20"/>
          <w:szCs w:val="20"/>
          <w:u w:val="single"/>
        </w:rPr>
        <w:lastRenderedPageBreak/>
        <w:t xml:space="preserve">62. </w:t>
      </w:r>
      <w:r w:rsidR="007E38C3" w:rsidRPr="0064744A">
        <w:rPr>
          <w:rFonts w:cs="Arial"/>
          <w:b/>
          <w:sz w:val="20"/>
          <w:szCs w:val="20"/>
          <w:u w:val="single"/>
        </w:rPr>
        <w:t>Alcohol Use Disorder with Co-Occurring Cannabis Use Disorder: Demographic Characteristics and Treatment Utilization among U.S. Adults</w:t>
      </w:r>
    </w:p>
    <w:p w14:paraId="1671FBEF" w14:textId="77777777" w:rsidR="00674AE1" w:rsidRDefault="00674AE1" w:rsidP="00D36E11">
      <w:pPr>
        <w:spacing w:after="0" w:line="240" w:lineRule="auto"/>
        <w:rPr>
          <w:rFonts w:cs="Arial"/>
          <w:b/>
          <w:sz w:val="20"/>
          <w:szCs w:val="20"/>
        </w:rPr>
      </w:pPr>
    </w:p>
    <w:p w14:paraId="4CD9E054" w14:textId="106F3C89"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Lindsey White, University of Colorado School of Medicine</w:t>
      </w:r>
    </w:p>
    <w:p w14:paraId="3C2E4AD9" w14:textId="77777777" w:rsidR="00674AE1" w:rsidRDefault="00674AE1" w:rsidP="00D36E11">
      <w:pPr>
        <w:spacing w:after="0" w:line="240" w:lineRule="auto"/>
        <w:rPr>
          <w:rFonts w:cs="Arial"/>
          <w:sz w:val="20"/>
          <w:szCs w:val="20"/>
        </w:rPr>
      </w:pPr>
    </w:p>
    <w:p w14:paraId="5D7FE15D" w14:textId="40358C04" w:rsidR="00002CD7" w:rsidRPr="00F47BE6" w:rsidRDefault="007E38C3" w:rsidP="00D36E11">
      <w:pPr>
        <w:spacing w:after="0" w:line="240" w:lineRule="auto"/>
        <w:rPr>
          <w:rFonts w:cs="Arial"/>
          <w:sz w:val="20"/>
          <w:szCs w:val="20"/>
        </w:rPr>
      </w:pPr>
      <w:r w:rsidRPr="0064744A">
        <w:rPr>
          <w:rFonts w:cs="Arial"/>
          <w:sz w:val="20"/>
          <w:szCs w:val="20"/>
          <w:u w:val="single"/>
        </w:rPr>
        <w:t>Background:</w:t>
      </w:r>
      <w:r w:rsidRPr="00F47BE6">
        <w:rPr>
          <w:rFonts w:cs="Arial"/>
          <w:sz w:val="20"/>
          <w:szCs w:val="20"/>
        </w:rPr>
        <w:t xml:space="preserve"> Alcohol Use Disorder (AUD) and Cannabis Use Disorder (CUD) are the most common co-occurring use disorders. Understanding characteristics and AUD treatment utilization among adults with co-occurring CUD can inform population-level treatment efforts.  </w:t>
      </w:r>
      <w:r w:rsidRPr="00F47BE6">
        <w:rPr>
          <w:rFonts w:cs="Arial"/>
          <w:sz w:val="20"/>
          <w:szCs w:val="20"/>
        </w:rPr>
        <w:br/>
      </w:r>
      <w:r w:rsidRPr="0064744A">
        <w:rPr>
          <w:rFonts w:cs="Arial"/>
          <w:sz w:val="20"/>
          <w:szCs w:val="20"/>
          <w:u w:val="single"/>
        </w:rPr>
        <w:t>Methods:</w:t>
      </w:r>
      <w:r w:rsidRPr="00F47BE6">
        <w:rPr>
          <w:rFonts w:cs="Arial"/>
          <w:sz w:val="20"/>
          <w:szCs w:val="20"/>
        </w:rPr>
        <w:t xml:space="preserve"> We used the 2024 National Survey on Drug Use and Health (NSDUH) to identify US adults (age ≥18 years) with AUD and describe characteristics and rates of treatment associated with co-occurring CUD. NSDUH is a national survey of noninstitutionalized civilians. AUD and CUD were defined based on DSM-5 criteria. The outcome was past-year receipt of any alcohol-related treatment including behavioral treatment, pharmacotherapy, or peer support. Covariates included sociodemographics, substance use characteristics, and mental illness. We compared characteristics between groups using chi-square and adjusted logistic regressions. We applied sampling weights to generate nationally representative estimates. </w:t>
      </w:r>
      <w:r w:rsidRPr="00F47BE6">
        <w:rPr>
          <w:rFonts w:cs="Arial"/>
          <w:sz w:val="20"/>
          <w:szCs w:val="20"/>
        </w:rPr>
        <w:br/>
      </w:r>
      <w:r w:rsidRPr="0064744A">
        <w:rPr>
          <w:rFonts w:cs="Arial"/>
          <w:sz w:val="20"/>
          <w:szCs w:val="20"/>
          <w:u w:val="single"/>
        </w:rPr>
        <w:t>Results:</w:t>
      </w:r>
      <w:r w:rsidRPr="00F47BE6">
        <w:rPr>
          <w:rFonts w:cs="Arial"/>
          <w:sz w:val="20"/>
          <w:szCs w:val="20"/>
        </w:rPr>
        <w:t xml:space="preserve"> We identified 5,719 unweighted adults with AUD, representing 27.1 million Americans. Among them, 21.3% (95% CI 19.2%-23.6%) had co-occurring CUD. Compared to those without, those with co-occurring CUD were younger (14% age 18-25 years vs 35%, p&lt;0.001) and more often Black (10.0% vs 19.8%, p=&lt;0.001). They were less likely to have medical insurance (90.6% vs 79.2%, p&lt;0.001) or make ≥$75,000/year (29.4% vs 10.3%, p&lt;0.001). They had higher prevalence of severe AUD (16.4% vs 29.0%, p&lt;0.001), other substance </w:t>
      </w:r>
      <w:proofErr w:type="gramStart"/>
      <w:r w:rsidRPr="00F47BE6">
        <w:rPr>
          <w:rFonts w:cs="Arial"/>
          <w:sz w:val="20"/>
          <w:szCs w:val="20"/>
        </w:rPr>
        <w:t>use</w:t>
      </w:r>
      <w:proofErr w:type="gramEnd"/>
      <w:r w:rsidRPr="00F47BE6">
        <w:rPr>
          <w:rFonts w:cs="Arial"/>
          <w:sz w:val="20"/>
          <w:szCs w:val="20"/>
        </w:rPr>
        <w:t xml:space="preserve"> disorders (e.g. stimulant 2.6% vs 7.7%, p&lt;0.001), and serious mental illness (9.1% vs 22.3%, p&lt;0.001). Overall, only 7.4% received AUD treatment (6.7% without vs 10.0% with CUD, p=0.008). In adjusted analysis, AUD treatment did not differ significantly (aOR 1.14, 95% CI 0.73%-1.80%). </w:t>
      </w:r>
      <w:r w:rsidRPr="00F47BE6">
        <w:rPr>
          <w:rFonts w:cs="Arial"/>
          <w:sz w:val="20"/>
          <w:szCs w:val="20"/>
        </w:rPr>
        <w:br/>
      </w:r>
      <w:r w:rsidRPr="0064744A">
        <w:rPr>
          <w:rFonts w:cs="Arial"/>
          <w:sz w:val="20"/>
          <w:szCs w:val="20"/>
          <w:u w:val="single"/>
        </w:rPr>
        <w:t>Discussion/Conclusion:</w:t>
      </w:r>
      <w:r w:rsidRPr="00F47BE6">
        <w:rPr>
          <w:rFonts w:cs="Arial"/>
          <w:sz w:val="20"/>
          <w:szCs w:val="20"/>
        </w:rPr>
        <w:t xml:space="preserve"> Among US adults with AUD, co-occurring CUD was associated with lower socioeconomic status and increased addiction and mental illness severity, but few received AUD treatment across groups. Interventions are needed to improve overall treatment engagement, but targeted interventions may be necessary to address unique characteristics of those with comorbid CUD.</w:t>
      </w:r>
    </w:p>
    <w:p w14:paraId="5323710C" w14:textId="77777777" w:rsidR="00674AE1" w:rsidRDefault="00674AE1" w:rsidP="00D36E11">
      <w:pPr>
        <w:spacing w:after="0" w:line="240" w:lineRule="auto"/>
        <w:rPr>
          <w:rFonts w:cs="Arial"/>
          <w:b/>
          <w:sz w:val="20"/>
          <w:szCs w:val="20"/>
        </w:rPr>
      </w:pPr>
    </w:p>
    <w:p w14:paraId="0DF58760" w14:textId="29DD5028" w:rsidR="00002CD7" w:rsidRDefault="00F50B0E"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Lindsey White, BS (</w:t>
      </w:r>
      <w:r w:rsidR="00B166BB">
        <w:rPr>
          <w:rFonts w:cs="Arial"/>
          <w:sz w:val="20"/>
          <w:szCs w:val="20"/>
        </w:rPr>
        <w:t>1</w:t>
      </w:r>
      <w:r w:rsidR="007E38C3" w:rsidRPr="00F47BE6">
        <w:rPr>
          <w:rFonts w:cs="Arial"/>
          <w:sz w:val="20"/>
          <w:szCs w:val="20"/>
        </w:rPr>
        <w:t>), Hollis Karoly, PhD (</w:t>
      </w:r>
      <w:r w:rsidR="00B166BB">
        <w:rPr>
          <w:rFonts w:cs="Arial"/>
          <w:sz w:val="20"/>
          <w:szCs w:val="20"/>
        </w:rPr>
        <w:t>1</w:t>
      </w:r>
      <w:r w:rsidR="007E38C3" w:rsidRPr="00F47BE6">
        <w:rPr>
          <w:rFonts w:cs="Arial"/>
          <w:sz w:val="20"/>
          <w:szCs w:val="20"/>
        </w:rPr>
        <w:t>), Eden Bernstein, MD, MPH (</w:t>
      </w:r>
      <w:r w:rsidR="00B166BB">
        <w:rPr>
          <w:rFonts w:cs="Arial"/>
          <w:sz w:val="20"/>
          <w:szCs w:val="20"/>
        </w:rPr>
        <w:t>2</w:t>
      </w:r>
      <w:r w:rsidR="007E38C3" w:rsidRPr="00F47BE6">
        <w:rPr>
          <w:rFonts w:cs="Arial"/>
          <w:sz w:val="20"/>
          <w:szCs w:val="20"/>
        </w:rPr>
        <w:t>)</w:t>
      </w:r>
    </w:p>
    <w:p w14:paraId="249FB968" w14:textId="77777777" w:rsidR="00B166BB" w:rsidRDefault="00B166BB" w:rsidP="00D36E11">
      <w:pPr>
        <w:spacing w:after="0" w:line="240" w:lineRule="auto"/>
        <w:rPr>
          <w:rFonts w:cs="Arial"/>
          <w:sz w:val="20"/>
          <w:szCs w:val="20"/>
        </w:rPr>
      </w:pPr>
    </w:p>
    <w:p w14:paraId="1296F116" w14:textId="0E0D05AF" w:rsidR="00B166BB" w:rsidRPr="00B166BB" w:rsidRDefault="00B166BB" w:rsidP="00D36E11">
      <w:pPr>
        <w:spacing w:after="0" w:line="240" w:lineRule="auto"/>
        <w:rPr>
          <w:rFonts w:cs="Arial"/>
          <w:sz w:val="20"/>
          <w:szCs w:val="20"/>
        </w:rPr>
      </w:pPr>
      <w:r w:rsidRPr="00B166BB">
        <w:rPr>
          <w:rFonts w:cs="Arial"/>
          <w:sz w:val="20"/>
          <w:szCs w:val="20"/>
        </w:rPr>
        <w:t>(1) Division of Addiction Science, Prevention, and Treatment, University of Colorado-Denver Anschutz</w:t>
      </w:r>
    </w:p>
    <w:p w14:paraId="1A245F13" w14:textId="43AB8F3E" w:rsidR="00B166BB" w:rsidRPr="00F47BE6" w:rsidRDefault="00B166BB" w:rsidP="00D36E11">
      <w:pPr>
        <w:spacing w:after="0" w:line="240" w:lineRule="auto"/>
        <w:rPr>
          <w:rFonts w:cs="Arial"/>
          <w:sz w:val="20"/>
          <w:szCs w:val="20"/>
        </w:rPr>
      </w:pPr>
      <w:r w:rsidRPr="00B166BB">
        <w:rPr>
          <w:rFonts w:cs="Arial"/>
          <w:sz w:val="20"/>
          <w:szCs w:val="20"/>
        </w:rPr>
        <w:t>(2) Division of Hospital Medicine, University of Colorado-Denver Anschutz</w:t>
      </w:r>
    </w:p>
    <w:p w14:paraId="1F573882" w14:textId="77777777" w:rsidR="00002CD7" w:rsidRDefault="00002CD7" w:rsidP="00D36E11">
      <w:pPr>
        <w:spacing w:after="0" w:line="240" w:lineRule="auto"/>
        <w:rPr>
          <w:rFonts w:cs="Arial"/>
          <w:sz w:val="20"/>
          <w:szCs w:val="20"/>
        </w:rPr>
      </w:pPr>
    </w:p>
    <w:p w14:paraId="2D8A10B2" w14:textId="77777777" w:rsidR="00B166BB" w:rsidRPr="00F47BE6" w:rsidRDefault="00B166BB" w:rsidP="00D36E11">
      <w:pPr>
        <w:spacing w:after="0" w:line="240" w:lineRule="auto"/>
        <w:rPr>
          <w:rFonts w:cs="Arial"/>
          <w:sz w:val="20"/>
          <w:szCs w:val="20"/>
        </w:rPr>
      </w:pPr>
    </w:p>
    <w:p w14:paraId="684D2F4E" w14:textId="3B67598A" w:rsidR="00002CD7" w:rsidRPr="00751DA1" w:rsidRDefault="000D0C44" w:rsidP="00D36E11">
      <w:pPr>
        <w:spacing w:after="0" w:line="240" w:lineRule="auto"/>
        <w:rPr>
          <w:rFonts w:cs="Arial"/>
          <w:sz w:val="20"/>
          <w:szCs w:val="20"/>
          <w:u w:val="single"/>
        </w:rPr>
      </w:pPr>
      <w:r>
        <w:rPr>
          <w:rFonts w:cs="Arial"/>
          <w:b/>
          <w:sz w:val="20"/>
          <w:szCs w:val="20"/>
          <w:u w:val="single"/>
        </w:rPr>
        <w:t xml:space="preserve">63. </w:t>
      </w:r>
      <w:r w:rsidR="007E38C3" w:rsidRPr="00751DA1">
        <w:rPr>
          <w:rFonts w:cs="Arial"/>
          <w:b/>
          <w:sz w:val="20"/>
          <w:szCs w:val="20"/>
          <w:u w:val="single"/>
        </w:rPr>
        <w:t>Firearm-Related Discussions and Follow-Up Care Among Emergency Department Patients with Elevated Suicide Risk</w:t>
      </w:r>
    </w:p>
    <w:p w14:paraId="768E2D69" w14:textId="77777777" w:rsidR="006104A9" w:rsidRDefault="006104A9" w:rsidP="00D36E11">
      <w:pPr>
        <w:spacing w:after="0" w:line="240" w:lineRule="auto"/>
        <w:rPr>
          <w:rFonts w:cs="Arial"/>
          <w:b/>
          <w:sz w:val="20"/>
          <w:szCs w:val="20"/>
        </w:rPr>
      </w:pPr>
    </w:p>
    <w:p w14:paraId="741CA929" w14:textId="785F2EAA" w:rsidR="00002CD7" w:rsidRPr="00F47BE6" w:rsidRDefault="007E38C3" w:rsidP="00D36E11">
      <w:pPr>
        <w:spacing w:after="0" w:line="240" w:lineRule="auto"/>
        <w:rPr>
          <w:rFonts w:cs="Arial"/>
          <w:sz w:val="20"/>
          <w:szCs w:val="20"/>
        </w:rPr>
      </w:pPr>
      <w:r w:rsidRPr="00F47BE6">
        <w:rPr>
          <w:rFonts w:cs="Arial"/>
          <w:b/>
          <w:sz w:val="20"/>
          <w:szCs w:val="20"/>
        </w:rPr>
        <w:t xml:space="preserve">Presenting Author: </w:t>
      </w:r>
      <w:r w:rsidRPr="00F47BE6">
        <w:rPr>
          <w:rFonts w:cs="Arial"/>
          <w:sz w:val="20"/>
          <w:szCs w:val="20"/>
        </w:rPr>
        <w:t>Julie Kafka, University of Colorado School of Medicine</w:t>
      </w:r>
    </w:p>
    <w:p w14:paraId="5613A2AF" w14:textId="77777777" w:rsidR="006104A9" w:rsidRDefault="006104A9" w:rsidP="00D36E11">
      <w:pPr>
        <w:spacing w:after="0" w:line="240" w:lineRule="auto"/>
        <w:rPr>
          <w:rFonts w:cs="Arial"/>
          <w:b/>
          <w:bCs/>
          <w:sz w:val="20"/>
          <w:szCs w:val="20"/>
        </w:rPr>
      </w:pPr>
    </w:p>
    <w:p w14:paraId="0A928455" w14:textId="47710683" w:rsidR="00002CD7" w:rsidRPr="00F47BE6" w:rsidRDefault="007E38C3" w:rsidP="00D36E11">
      <w:pPr>
        <w:spacing w:after="0" w:line="240" w:lineRule="auto"/>
        <w:rPr>
          <w:rFonts w:cs="Arial"/>
          <w:sz w:val="20"/>
          <w:szCs w:val="20"/>
        </w:rPr>
      </w:pPr>
      <w:r w:rsidRPr="00751DA1">
        <w:rPr>
          <w:rFonts w:cs="Arial"/>
          <w:sz w:val="20"/>
          <w:szCs w:val="20"/>
          <w:u w:val="single"/>
        </w:rPr>
        <w:t>Background:</w:t>
      </w:r>
      <w:r w:rsidRPr="00F47BE6">
        <w:rPr>
          <w:rFonts w:cs="Arial"/>
          <w:sz w:val="20"/>
          <w:szCs w:val="20"/>
        </w:rPr>
        <w:t xml:space="preserve"> Suicide is a leading cause of death in the US, and 58% of suicides are by firearm. “Lethal means safety counseling,” discussing how to reduce access to firearms or other lethal means, is a key component of evidence-based care for suicidal individuals. Emergency Departments (ED) routinely screen patients for suicide risk, but little is known about how often firearm access is discussed. Our goal was to identify firearm mentions from clinical notes in the electronic health record (EHR) among ED patients with elevated suicide risk, to characterize when these mentions were documented, and identify potential opportunities to enhance lethal means safety efforts.</w:t>
      </w:r>
      <w:r w:rsidRPr="00F47BE6">
        <w:rPr>
          <w:rFonts w:cs="Arial"/>
          <w:sz w:val="20"/>
          <w:szCs w:val="20"/>
        </w:rPr>
        <w:br/>
      </w:r>
      <w:r w:rsidRPr="00751DA1">
        <w:rPr>
          <w:rFonts w:cs="Arial"/>
          <w:sz w:val="20"/>
          <w:szCs w:val="20"/>
          <w:u w:val="single"/>
        </w:rPr>
        <w:t>Methods:</w:t>
      </w:r>
      <w:r w:rsidRPr="00F47BE6">
        <w:rPr>
          <w:rFonts w:cs="Arial"/>
          <w:sz w:val="20"/>
          <w:szCs w:val="20"/>
        </w:rPr>
        <w:t xml:space="preserve"> Our sample included patients (all ages) who were identified in a UCHealth ED as having moderate or high suicide risk according to the Columbia Suicide Severity Risk Scale from 2020-2023. Using an established keywords list (e.g., “firearm”, “handgun”, “rifle”), we extracted all clinical notes for patients that contained at least one firearm-related term during the index ED encounter or 12 months pre/post in UCHealth. We describe the proportion of patients with firearm-related documentation in the pre-ED, ED, and post-ED encounter period.</w:t>
      </w:r>
      <w:r w:rsidRPr="00F47BE6">
        <w:rPr>
          <w:rFonts w:cs="Arial"/>
          <w:sz w:val="20"/>
          <w:szCs w:val="20"/>
        </w:rPr>
        <w:br/>
      </w:r>
      <w:r w:rsidRPr="00751DA1">
        <w:rPr>
          <w:rFonts w:cs="Arial"/>
          <w:sz w:val="20"/>
          <w:szCs w:val="20"/>
          <w:u w:val="single"/>
        </w:rPr>
        <w:t>Results:</w:t>
      </w:r>
      <w:r w:rsidRPr="00F47BE6">
        <w:rPr>
          <w:rFonts w:cs="Arial"/>
          <w:sz w:val="20"/>
          <w:szCs w:val="20"/>
        </w:rPr>
        <w:t xml:space="preserve"> Among 16,862 patients (49.1% male, mean age 34.0 years), 65.3% (n=11,020) had a pre-ED encounter, and 74.5% (n=12,574) had a post-ED encounter. The keyword search identified n=11,998 clinical notes with firearm-related mentions belonging to n=4,911 patients (29.1% of the full sample). Of all patients, 4.6% (n=778) had firearm mentions in the pre-ED period, 20.6% (n= 3,469) during the index ED encounter, and 8.9% (n=1,482) in the post-ED period.</w:t>
      </w:r>
      <w:r w:rsidRPr="00F47BE6">
        <w:rPr>
          <w:rFonts w:cs="Arial"/>
          <w:sz w:val="20"/>
          <w:szCs w:val="20"/>
        </w:rPr>
        <w:br/>
      </w:r>
      <w:r w:rsidRPr="00751DA1">
        <w:rPr>
          <w:rFonts w:cs="Arial"/>
          <w:sz w:val="20"/>
          <w:szCs w:val="20"/>
          <w:u w:val="single"/>
        </w:rPr>
        <w:t>Discussion/Conclusions:</w:t>
      </w:r>
      <w:r w:rsidRPr="00F47BE6">
        <w:rPr>
          <w:rFonts w:cs="Arial"/>
          <w:sz w:val="20"/>
          <w:szCs w:val="20"/>
        </w:rPr>
        <w:t xml:space="preserve"> Nearly one fifth of ED patients had documentation of firearm-related discussions with clinicians during their index encounter. However, firearm-related discussions were much less common post ED discharge. Efforts are needed to facilitate continuity of care around safe firearm storage counseling for this high-risk patient group.</w:t>
      </w:r>
    </w:p>
    <w:p w14:paraId="39AB9015" w14:textId="77777777" w:rsidR="006104A9" w:rsidRDefault="006104A9" w:rsidP="00D36E11">
      <w:pPr>
        <w:spacing w:after="0" w:line="240" w:lineRule="auto"/>
        <w:rPr>
          <w:rFonts w:cs="Arial"/>
          <w:b/>
          <w:sz w:val="20"/>
          <w:szCs w:val="20"/>
        </w:rPr>
      </w:pPr>
    </w:p>
    <w:p w14:paraId="31EB5CDD" w14:textId="4A54FE46" w:rsidR="00002CD7" w:rsidRDefault="00B02674" w:rsidP="00D36E11">
      <w:pPr>
        <w:spacing w:after="0" w:line="240" w:lineRule="auto"/>
        <w:rPr>
          <w:rFonts w:cs="Arial"/>
          <w:sz w:val="20"/>
          <w:szCs w:val="20"/>
        </w:rPr>
      </w:pPr>
      <w:r>
        <w:rPr>
          <w:rFonts w:cs="Arial"/>
          <w:b/>
          <w:sz w:val="20"/>
          <w:szCs w:val="20"/>
        </w:rPr>
        <w:t>Author List</w:t>
      </w:r>
      <w:r w:rsidRPr="00F47BE6">
        <w:rPr>
          <w:rFonts w:cs="Arial"/>
          <w:b/>
          <w:sz w:val="20"/>
          <w:szCs w:val="20"/>
        </w:rPr>
        <w:t xml:space="preserve">: </w:t>
      </w:r>
      <w:r w:rsidR="007E38C3" w:rsidRPr="00F47BE6">
        <w:rPr>
          <w:rFonts w:cs="Arial"/>
          <w:sz w:val="20"/>
          <w:szCs w:val="20"/>
        </w:rPr>
        <w:t>Julie M Kafka, PhD, MPH</w:t>
      </w:r>
      <w:r w:rsidR="007F2146">
        <w:rPr>
          <w:rFonts w:cs="Arial"/>
          <w:sz w:val="20"/>
          <w:szCs w:val="20"/>
        </w:rPr>
        <w:t xml:space="preserve"> (1)</w:t>
      </w:r>
      <w:r w:rsidR="007E38C3" w:rsidRPr="00F47BE6">
        <w:rPr>
          <w:rFonts w:cs="Arial"/>
          <w:sz w:val="20"/>
          <w:szCs w:val="20"/>
        </w:rPr>
        <w:t>, Yanjun Gao, PhD</w:t>
      </w:r>
      <w:r w:rsidR="007F2146">
        <w:rPr>
          <w:rFonts w:cs="Arial"/>
          <w:sz w:val="20"/>
          <w:szCs w:val="20"/>
        </w:rPr>
        <w:t xml:space="preserve"> (2)</w:t>
      </w:r>
      <w:r w:rsidR="007E38C3" w:rsidRPr="00F47BE6">
        <w:rPr>
          <w:rFonts w:cs="Arial"/>
          <w:sz w:val="20"/>
          <w:szCs w:val="20"/>
        </w:rPr>
        <w:t>, Samantha Stonbraker PhD, MPH, RN, FAAN</w:t>
      </w:r>
      <w:r w:rsidR="00CD1F86">
        <w:rPr>
          <w:rFonts w:cs="Arial"/>
          <w:sz w:val="20"/>
          <w:szCs w:val="20"/>
        </w:rPr>
        <w:t xml:space="preserve">, </w:t>
      </w:r>
      <w:r w:rsidR="007E38C3" w:rsidRPr="00F47BE6">
        <w:rPr>
          <w:rFonts w:cs="Arial"/>
          <w:sz w:val="20"/>
          <w:szCs w:val="20"/>
        </w:rPr>
        <w:t>FAMIA</w:t>
      </w:r>
      <w:r w:rsidR="00CD1F86">
        <w:rPr>
          <w:rFonts w:cs="Arial"/>
          <w:sz w:val="20"/>
          <w:szCs w:val="20"/>
        </w:rPr>
        <w:t xml:space="preserve"> (3), </w:t>
      </w:r>
      <w:r w:rsidR="007E38C3" w:rsidRPr="00F47BE6">
        <w:rPr>
          <w:rFonts w:cs="Arial"/>
          <w:sz w:val="20"/>
          <w:szCs w:val="20"/>
        </w:rPr>
        <w:t>Joseph Simonetti MD, MPH</w:t>
      </w:r>
      <w:r w:rsidR="00CD1F86">
        <w:rPr>
          <w:rFonts w:cs="Arial"/>
          <w:sz w:val="20"/>
          <w:szCs w:val="20"/>
        </w:rPr>
        <w:t xml:space="preserve"> (4)</w:t>
      </w:r>
      <w:r w:rsidR="007E38C3" w:rsidRPr="00F47BE6">
        <w:rPr>
          <w:rFonts w:cs="Arial"/>
          <w:sz w:val="20"/>
          <w:szCs w:val="20"/>
        </w:rPr>
        <w:t>, Marian Betz, MD, MPH</w:t>
      </w:r>
      <w:r w:rsidR="00CD1F86">
        <w:rPr>
          <w:rFonts w:cs="Arial"/>
          <w:sz w:val="20"/>
          <w:szCs w:val="20"/>
        </w:rPr>
        <w:t xml:space="preserve"> (1)</w:t>
      </w:r>
    </w:p>
    <w:p w14:paraId="2FC12C4B" w14:textId="77777777" w:rsidR="006104A9" w:rsidRDefault="006104A9" w:rsidP="00D36E11">
      <w:pPr>
        <w:widowControl w:val="0"/>
        <w:autoSpaceDE w:val="0"/>
        <w:autoSpaceDN w:val="0"/>
        <w:spacing w:after="0" w:line="240" w:lineRule="auto"/>
        <w:rPr>
          <w:rFonts w:eastAsia="Arial" w:cs="Arial"/>
          <w:sz w:val="20"/>
          <w:szCs w:val="20"/>
          <w:lang w:bidi="en-US"/>
        </w:rPr>
      </w:pPr>
    </w:p>
    <w:p w14:paraId="34861221" w14:textId="05C34881" w:rsidR="007F2146" w:rsidRPr="007F2146" w:rsidRDefault="007F2146" w:rsidP="00D36E11">
      <w:pPr>
        <w:widowControl w:val="0"/>
        <w:autoSpaceDE w:val="0"/>
        <w:autoSpaceDN w:val="0"/>
        <w:spacing w:after="0" w:line="240" w:lineRule="auto"/>
        <w:rPr>
          <w:rFonts w:eastAsia="Arial" w:cs="Arial"/>
          <w:sz w:val="20"/>
          <w:szCs w:val="20"/>
          <w:lang w:bidi="en-US"/>
        </w:rPr>
      </w:pPr>
      <w:r w:rsidRPr="007F2146">
        <w:rPr>
          <w:rFonts w:eastAsia="Arial" w:cs="Arial"/>
          <w:sz w:val="20"/>
          <w:szCs w:val="20"/>
          <w:lang w:bidi="en-US"/>
        </w:rPr>
        <w:t>(1) Department of Emergency Medicine, University of Colorado School of Medicine</w:t>
      </w:r>
      <w:r w:rsidRPr="007F2146">
        <w:rPr>
          <w:rFonts w:eastAsia="Arial" w:cs="Arial"/>
          <w:sz w:val="20"/>
          <w:szCs w:val="20"/>
          <w:lang w:bidi="en-US"/>
        </w:rPr>
        <w:br/>
        <w:t>(2) Department of Biomedical Informatics, University of Colorado School of Medicine</w:t>
      </w:r>
    </w:p>
    <w:p w14:paraId="16723DEE" w14:textId="6A88EE1F" w:rsidR="007F2146" w:rsidRPr="007F2146" w:rsidRDefault="007F2146" w:rsidP="00D36E11">
      <w:pPr>
        <w:widowControl w:val="0"/>
        <w:autoSpaceDE w:val="0"/>
        <w:autoSpaceDN w:val="0"/>
        <w:spacing w:after="0" w:line="240" w:lineRule="auto"/>
        <w:rPr>
          <w:rFonts w:eastAsia="Arial" w:cs="Arial"/>
          <w:sz w:val="20"/>
          <w:szCs w:val="20"/>
          <w:lang w:bidi="en-US"/>
        </w:rPr>
      </w:pPr>
      <w:r w:rsidRPr="007F2146">
        <w:rPr>
          <w:rFonts w:eastAsia="Arial" w:cs="Arial"/>
          <w:sz w:val="20"/>
          <w:szCs w:val="20"/>
          <w:lang w:bidi="en-US"/>
        </w:rPr>
        <w:t>(</w:t>
      </w:r>
      <w:r w:rsidR="008B7786">
        <w:rPr>
          <w:rFonts w:eastAsia="Arial" w:cs="Arial"/>
          <w:sz w:val="20"/>
          <w:szCs w:val="20"/>
          <w:lang w:bidi="en-US"/>
        </w:rPr>
        <w:t>3</w:t>
      </w:r>
      <w:r w:rsidRPr="007F2146">
        <w:rPr>
          <w:rFonts w:eastAsia="Arial" w:cs="Arial"/>
          <w:sz w:val="20"/>
          <w:szCs w:val="20"/>
          <w:lang w:bidi="en-US"/>
        </w:rPr>
        <w:t>) Division of Behavioral, Family, &amp; Population Health, University of Colorado College of Nursing</w:t>
      </w:r>
    </w:p>
    <w:p w14:paraId="4010DF41" w14:textId="5BEE508B" w:rsidR="007F2146" w:rsidRPr="00F47BE6" w:rsidRDefault="007F2146" w:rsidP="00D36E11">
      <w:pPr>
        <w:spacing w:after="0" w:line="240" w:lineRule="auto"/>
        <w:rPr>
          <w:rFonts w:cs="Arial"/>
          <w:sz w:val="20"/>
          <w:szCs w:val="20"/>
        </w:rPr>
      </w:pPr>
      <w:r w:rsidRPr="007F2146">
        <w:rPr>
          <w:rFonts w:eastAsia="Arial" w:cs="Arial"/>
          <w:sz w:val="20"/>
          <w:szCs w:val="20"/>
          <w:lang w:bidi="en-US"/>
        </w:rPr>
        <w:t>(</w:t>
      </w:r>
      <w:r w:rsidR="008B7786">
        <w:rPr>
          <w:rFonts w:eastAsia="Arial" w:cs="Arial"/>
          <w:sz w:val="20"/>
          <w:szCs w:val="20"/>
          <w:lang w:bidi="en-US"/>
        </w:rPr>
        <w:t>4</w:t>
      </w:r>
      <w:r w:rsidRPr="007F2146">
        <w:rPr>
          <w:rFonts w:eastAsia="Arial" w:cs="Arial"/>
          <w:sz w:val="20"/>
          <w:szCs w:val="20"/>
          <w:lang w:bidi="en-US"/>
        </w:rPr>
        <w:t>) Department of Internal Medicine, University of Colorado School of Medicine</w:t>
      </w:r>
    </w:p>
    <w:p w14:paraId="2D5655AA" w14:textId="77777777" w:rsidR="00002CD7" w:rsidRDefault="00002CD7" w:rsidP="00D36E11">
      <w:pPr>
        <w:spacing w:after="0" w:line="240" w:lineRule="auto"/>
        <w:rPr>
          <w:rFonts w:cs="Arial"/>
          <w:sz w:val="20"/>
          <w:szCs w:val="20"/>
        </w:rPr>
      </w:pPr>
    </w:p>
    <w:p w14:paraId="76426615" w14:textId="77777777" w:rsidR="006104A9" w:rsidRPr="00F47BE6" w:rsidRDefault="006104A9" w:rsidP="00D36E11">
      <w:pPr>
        <w:spacing w:after="0" w:line="240" w:lineRule="auto"/>
        <w:rPr>
          <w:rFonts w:cs="Arial"/>
          <w:sz w:val="20"/>
          <w:szCs w:val="20"/>
        </w:rPr>
      </w:pPr>
    </w:p>
    <w:sectPr w:rsidR="006104A9" w:rsidRPr="00F47BE6"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7982293">
    <w:abstractNumId w:val="8"/>
  </w:num>
  <w:num w:numId="2" w16cid:durableId="1024987642">
    <w:abstractNumId w:val="6"/>
  </w:num>
  <w:num w:numId="3" w16cid:durableId="793711970">
    <w:abstractNumId w:val="5"/>
  </w:num>
  <w:num w:numId="4" w16cid:durableId="1172526522">
    <w:abstractNumId w:val="4"/>
  </w:num>
  <w:num w:numId="5" w16cid:durableId="994916030">
    <w:abstractNumId w:val="7"/>
  </w:num>
  <w:num w:numId="6" w16cid:durableId="672537991">
    <w:abstractNumId w:val="3"/>
  </w:num>
  <w:num w:numId="7" w16cid:durableId="62141859">
    <w:abstractNumId w:val="2"/>
  </w:num>
  <w:num w:numId="8" w16cid:durableId="1160005845">
    <w:abstractNumId w:val="1"/>
  </w:num>
  <w:num w:numId="9" w16cid:durableId="76461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D7"/>
    <w:rsid w:val="00033357"/>
    <w:rsid w:val="00034616"/>
    <w:rsid w:val="0006063C"/>
    <w:rsid w:val="0006468C"/>
    <w:rsid w:val="0009374E"/>
    <w:rsid w:val="000A74E9"/>
    <w:rsid w:val="000D0C44"/>
    <w:rsid w:val="000E2E46"/>
    <w:rsid w:val="0015074B"/>
    <w:rsid w:val="00156E42"/>
    <w:rsid w:val="00163C02"/>
    <w:rsid w:val="001647D9"/>
    <w:rsid w:val="001A40F5"/>
    <w:rsid w:val="001C08C5"/>
    <w:rsid w:val="001F3598"/>
    <w:rsid w:val="002060A1"/>
    <w:rsid w:val="00215C4C"/>
    <w:rsid w:val="00221118"/>
    <w:rsid w:val="00221416"/>
    <w:rsid w:val="0022610F"/>
    <w:rsid w:val="0025692C"/>
    <w:rsid w:val="00265984"/>
    <w:rsid w:val="00266661"/>
    <w:rsid w:val="0029639D"/>
    <w:rsid w:val="002B7A5D"/>
    <w:rsid w:val="002C500E"/>
    <w:rsid w:val="002F66FF"/>
    <w:rsid w:val="00324E39"/>
    <w:rsid w:val="00326F90"/>
    <w:rsid w:val="003528BC"/>
    <w:rsid w:val="00372F09"/>
    <w:rsid w:val="003A5772"/>
    <w:rsid w:val="003A6FE4"/>
    <w:rsid w:val="003E697B"/>
    <w:rsid w:val="003F5A04"/>
    <w:rsid w:val="004312EC"/>
    <w:rsid w:val="00486ECA"/>
    <w:rsid w:val="00496138"/>
    <w:rsid w:val="004A4393"/>
    <w:rsid w:val="004F0F9A"/>
    <w:rsid w:val="00504860"/>
    <w:rsid w:val="005620AD"/>
    <w:rsid w:val="0059591D"/>
    <w:rsid w:val="005B1604"/>
    <w:rsid w:val="005B7F5C"/>
    <w:rsid w:val="005F1319"/>
    <w:rsid w:val="006104A9"/>
    <w:rsid w:val="006266B1"/>
    <w:rsid w:val="006416EF"/>
    <w:rsid w:val="0064735E"/>
    <w:rsid w:val="0064744A"/>
    <w:rsid w:val="00650756"/>
    <w:rsid w:val="00651164"/>
    <w:rsid w:val="00674AE1"/>
    <w:rsid w:val="00682F1F"/>
    <w:rsid w:val="00684847"/>
    <w:rsid w:val="00692E59"/>
    <w:rsid w:val="00712A31"/>
    <w:rsid w:val="0072599A"/>
    <w:rsid w:val="00751DA1"/>
    <w:rsid w:val="007673A4"/>
    <w:rsid w:val="00781C18"/>
    <w:rsid w:val="00794D9D"/>
    <w:rsid w:val="007A7813"/>
    <w:rsid w:val="007C2B4B"/>
    <w:rsid w:val="007E38C3"/>
    <w:rsid w:val="007F2146"/>
    <w:rsid w:val="00803F11"/>
    <w:rsid w:val="00807EB4"/>
    <w:rsid w:val="008104E7"/>
    <w:rsid w:val="00855C15"/>
    <w:rsid w:val="00895E88"/>
    <w:rsid w:val="008B1BE9"/>
    <w:rsid w:val="008B5533"/>
    <w:rsid w:val="008B7786"/>
    <w:rsid w:val="008C0C47"/>
    <w:rsid w:val="0090339C"/>
    <w:rsid w:val="00914033"/>
    <w:rsid w:val="00930C93"/>
    <w:rsid w:val="00933C93"/>
    <w:rsid w:val="00935BA8"/>
    <w:rsid w:val="00965024"/>
    <w:rsid w:val="009704B4"/>
    <w:rsid w:val="009823F8"/>
    <w:rsid w:val="00986BC1"/>
    <w:rsid w:val="00986EE7"/>
    <w:rsid w:val="00987594"/>
    <w:rsid w:val="009C5DFC"/>
    <w:rsid w:val="009D2E22"/>
    <w:rsid w:val="009F0C83"/>
    <w:rsid w:val="00A00427"/>
    <w:rsid w:val="00A00A88"/>
    <w:rsid w:val="00A66D14"/>
    <w:rsid w:val="00A81665"/>
    <w:rsid w:val="00A83530"/>
    <w:rsid w:val="00AA1D8D"/>
    <w:rsid w:val="00AC2490"/>
    <w:rsid w:val="00AC3C41"/>
    <w:rsid w:val="00B02674"/>
    <w:rsid w:val="00B1271C"/>
    <w:rsid w:val="00B166BB"/>
    <w:rsid w:val="00B25015"/>
    <w:rsid w:val="00B408B9"/>
    <w:rsid w:val="00B47730"/>
    <w:rsid w:val="00B47DB5"/>
    <w:rsid w:val="00B53736"/>
    <w:rsid w:val="00BA3372"/>
    <w:rsid w:val="00C13EE9"/>
    <w:rsid w:val="00C309EA"/>
    <w:rsid w:val="00C323A7"/>
    <w:rsid w:val="00C35CBB"/>
    <w:rsid w:val="00C37C3F"/>
    <w:rsid w:val="00C4204F"/>
    <w:rsid w:val="00C55C9E"/>
    <w:rsid w:val="00C64F0F"/>
    <w:rsid w:val="00CA0072"/>
    <w:rsid w:val="00CB0664"/>
    <w:rsid w:val="00CD1F86"/>
    <w:rsid w:val="00CD5070"/>
    <w:rsid w:val="00CE43EE"/>
    <w:rsid w:val="00D36E11"/>
    <w:rsid w:val="00D61F32"/>
    <w:rsid w:val="00D7213C"/>
    <w:rsid w:val="00D92AE4"/>
    <w:rsid w:val="00D95027"/>
    <w:rsid w:val="00DC286E"/>
    <w:rsid w:val="00DE4880"/>
    <w:rsid w:val="00E069EE"/>
    <w:rsid w:val="00E6795C"/>
    <w:rsid w:val="00E735E4"/>
    <w:rsid w:val="00E97CE0"/>
    <w:rsid w:val="00EB64C4"/>
    <w:rsid w:val="00EC7C87"/>
    <w:rsid w:val="00EE16F3"/>
    <w:rsid w:val="00EE72AD"/>
    <w:rsid w:val="00EF72A0"/>
    <w:rsid w:val="00F47BE6"/>
    <w:rsid w:val="00F50B0E"/>
    <w:rsid w:val="00F73285"/>
    <w:rsid w:val="00F834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04F334"/>
  <w14:defaultImageDpi w14:val="300"/>
  <w15:docId w15:val="{16C32696-0EA9-471D-BC9D-300F9873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182f43-d3b4-4cbf-96fe-632b6debbf42" xsi:nil="true"/>
    <lcf76f155ced4ddcb4097134ff3c332f xmlns="dc923815-2581-410d-be0e-56d45512c4b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4BFDB8A96A924FB474E7DD5A8425FB" ma:contentTypeVersion="11" ma:contentTypeDescription="Create a new document." ma:contentTypeScope="" ma:versionID="0b26606596fd717e1ed7d28948988cc1">
  <xsd:schema xmlns:xsd="http://www.w3.org/2001/XMLSchema" xmlns:xs="http://www.w3.org/2001/XMLSchema" xmlns:p="http://schemas.microsoft.com/office/2006/metadata/properties" xmlns:ns2="dc923815-2581-410d-be0e-56d45512c4bd" xmlns:ns3="14182f43-d3b4-4cbf-96fe-632b6debbf42" targetNamespace="http://schemas.microsoft.com/office/2006/metadata/properties" ma:root="true" ma:fieldsID="c447314a17b765b046c06f107e19b13b" ns2:_="" ns3:_="">
    <xsd:import namespace="dc923815-2581-410d-be0e-56d45512c4bd"/>
    <xsd:import namespace="14182f43-d3b4-4cbf-96fe-632b6debbf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23815-2581-410d-be0e-56d45512c4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182f43-d3b4-4cbf-96fe-632b6debbf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9cf16f-6060-4c2f-a724-4c1e3f0ed075}" ma:internalName="TaxCatchAll" ma:showField="CatchAllData" ma:web="14182f43-d3b4-4cbf-96fe-632b6debb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6CB558-867A-42BE-98CD-B8CBEF9574EF}">
  <ds:schemaRefs>
    <ds:schemaRef ds:uri="http://schemas.microsoft.com/sharepoint/v3/contenttype/forms"/>
  </ds:schemaRefs>
</ds:datastoreItem>
</file>

<file path=customXml/itemProps2.xml><?xml version="1.0" encoding="utf-8"?>
<ds:datastoreItem xmlns:ds="http://schemas.openxmlformats.org/officeDocument/2006/customXml" ds:itemID="{2B12BB62-EEFC-4DAE-BC42-405EEF6955AE}">
  <ds:schemaRefs>
    <ds:schemaRef ds:uri="http://schemas.microsoft.com/office/2006/metadata/properties"/>
    <ds:schemaRef ds:uri="http://schemas.microsoft.com/office/infopath/2007/PartnerControls"/>
    <ds:schemaRef ds:uri="14182f43-d3b4-4cbf-96fe-632b6debbf42"/>
    <ds:schemaRef ds:uri="dc923815-2581-410d-be0e-56d45512c4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9EF9A24-2089-466A-99C6-B9E50A824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23815-2581-410d-be0e-56d45512c4bd"/>
    <ds:schemaRef ds:uri="14182f43-d3b4-4cbf-96fe-632b6debb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23413</Words>
  <Characters>147036</Characters>
  <Application>Microsoft Office Word</Application>
  <DocSecurity>0</DocSecurity>
  <Lines>2227</Lines>
  <Paragraphs>422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Rebecca</dc:creator>
  <cp:keywords/>
  <dc:description>generated by python-docx</dc:description>
  <cp:lastModifiedBy>Howard, Rebecca</cp:lastModifiedBy>
  <cp:revision>2</cp:revision>
  <cp:lastPrinted>2026-09-17T18:20:00Z</cp:lastPrinted>
  <dcterms:created xsi:type="dcterms:W3CDTF">2026-09-21T16:04:00Z</dcterms:created>
  <dcterms:modified xsi:type="dcterms:W3CDTF">2026-09-21T16:04:00Z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0x010100E24BFDB8A96A924FB474E7DD5A8425FB</vt:lpwstr>
  </property>
</Properties>
</file>