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578CB3BF" w:rsidR="00A94F68" w:rsidRPr="0077540C" w:rsidRDefault="00A94F68" w:rsidP="00A94F68">
      <w:pPr>
        <w:rPr>
          <w:b/>
        </w:rPr>
      </w:pPr>
      <w:r>
        <w:rPr>
          <w:b/>
        </w:rPr>
        <w:t>Course Title:</w:t>
      </w:r>
      <w:r w:rsidR="002802BF">
        <w:rPr>
          <w:b/>
        </w:rPr>
        <w:t xml:space="preserve"> </w:t>
      </w:r>
      <w:r w:rsidR="00DB36C8" w:rsidRPr="00DB36C8">
        <w:t xml:space="preserve">Academic Inpatient </w:t>
      </w:r>
      <w:r w:rsidR="00DA312F">
        <w:t>Adult</w:t>
      </w:r>
      <w:r w:rsidR="00DB36C8" w:rsidRPr="00DB36C8">
        <w:t xml:space="preserve"> Medicine</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10E7AFB1"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DA312F">
        <w:t>4</w:t>
      </w:r>
      <w:r w:rsidR="00DB36C8">
        <w:t>2</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7C87418B" w14:textId="5C1446A9" w:rsidR="007D63C7" w:rsidRPr="007D63C7" w:rsidRDefault="004239E3" w:rsidP="007D63C7">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681824" w:rsidRPr="00681824">
        <w:rPr>
          <w:rFonts w:asciiTheme="minorHAnsi" w:hAnsiTheme="minorHAnsi" w:cstheme="minorHAnsi"/>
          <w:color w:val="000000"/>
          <w:sz w:val="22"/>
          <w:szCs w:val="22"/>
          <w:bdr w:val="none" w:sz="0" w:space="0" w:color="auto" w:frame="1"/>
          <w:shd w:val="clear" w:color="auto" w:fill="FFFFFF"/>
        </w:rPr>
        <w:t xml:space="preserve"> </w:t>
      </w:r>
      <w:r w:rsidR="00DB36C8" w:rsidRPr="00DB36C8">
        <w:rPr>
          <w:rFonts w:asciiTheme="minorHAnsi" w:hAnsiTheme="minorHAnsi" w:cstheme="minorHAnsi"/>
          <w:color w:val="000000"/>
          <w:sz w:val="22"/>
          <w:szCs w:val="22"/>
          <w:bdr w:val="none" w:sz="0" w:space="0" w:color="auto" w:frame="1"/>
          <w:shd w:val="clear" w:color="auto" w:fill="FFFFFF"/>
        </w:rPr>
        <w:t>Th</w:t>
      </w:r>
      <w:r w:rsidR="00DB36C8">
        <w:rPr>
          <w:rFonts w:asciiTheme="minorHAnsi" w:hAnsiTheme="minorHAnsi" w:cstheme="minorHAnsi"/>
          <w:color w:val="000000"/>
          <w:sz w:val="22"/>
          <w:szCs w:val="22"/>
          <w:bdr w:val="none" w:sz="0" w:space="0" w:color="auto" w:frame="1"/>
          <w:shd w:val="clear" w:color="auto" w:fill="FFFFFF"/>
        </w:rPr>
        <w:t>is</w:t>
      </w:r>
      <w:r w:rsidR="00DB36C8" w:rsidRPr="00DB36C8">
        <w:rPr>
          <w:rFonts w:asciiTheme="minorHAnsi" w:hAnsiTheme="minorHAnsi" w:cstheme="minorHAnsi"/>
          <w:color w:val="000000"/>
          <w:sz w:val="22"/>
          <w:szCs w:val="22"/>
          <w:bdr w:val="none" w:sz="0" w:space="0" w:color="auto" w:frame="1"/>
          <w:shd w:val="clear" w:color="auto" w:fill="FFFFFF"/>
        </w:rPr>
        <w:t xml:space="preserve"> course involves active participation in an inpatient hospital setting</w:t>
      </w:r>
      <w:r w:rsidR="00DB36C8">
        <w:rPr>
          <w:rFonts w:asciiTheme="minorHAnsi" w:hAnsiTheme="minorHAnsi" w:cstheme="minorHAnsi"/>
          <w:color w:val="000000"/>
          <w:sz w:val="22"/>
          <w:szCs w:val="22"/>
          <w:bdr w:val="none" w:sz="0" w:space="0" w:color="auto" w:frame="1"/>
          <w:shd w:val="clear" w:color="auto" w:fill="FFFFFF"/>
        </w:rPr>
        <w:t xml:space="preserve"> (B3.04b)</w:t>
      </w:r>
      <w:r w:rsidR="00DB36C8" w:rsidRPr="00DB36C8">
        <w:rPr>
          <w:rFonts w:asciiTheme="minorHAnsi" w:hAnsiTheme="minorHAnsi" w:cstheme="minorHAnsi"/>
          <w:color w:val="000000"/>
          <w:sz w:val="22"/>
          <w:szCs w:val="22"/>
          <w:bdr w:val="none" w:sz="0" w:space="0" w:color="auto" w:frame="1"/>
          <w:shd w:val="clear" w:color="auto" w:fill="FFFFFF"/>
        </w:rPr>
        <w:t xml:space="preserve"> with exposure to patients and caregivers across the lifespan, including </w:t>
      </w:r>
      <w:r w:rsidR="00DA312F">
        <w:rPr>
          <w:rFonts w:asciiTheme="minorHAnsi" w:hAnsiTheme="minorHAnsi" w:cstheme="minorHAnsi"/>
          <w:color w:val="000000"/>
          <w:sz w:val="22"/>
          <w:szCs w:val="22"/>
          <w:bdr w:val="none" w:sz="0" w:space="0" w:color="auto" w:frame="1"/>
          <w:shd w:val="clear" w:color="auto" w:fill="FFFFFF"/>
        </w:rPr>
        <w:t>adults and the elderly</w:t>
      </w:r>
      <w:r w:rsidR="00DB36C8">
        <w:rPr>
          <w:rFonts w:asciiTheme="minorHAnsi" w:hAnsiTheme="minorHAnsi" w:cstheme="minorHAnsi"/>
          <w:color w:val="000000"/>
          <w:sz w:val="22"/>
          <w:szCs w:val="22"/>
          <w:bdr w:val="none" w:sz="0" w:space="0" w:color="auto" w:frame="1"/>
          <w:shd w:val="clear" w:color="auto" w:fill="FFFFFF"/>
        </w:rPr>
        <w:t xml:space="preserve"> (B3.03b),</w:t>
      </w:r>
      <w:r w:rsidR="00DB36C8" w:rsidRPr="00DB36C8">
        <w:rPr>
          <w:rFonts w:asciiTheme="minorHAnsi" w:hAnsiTheme="minorHAnsi" w:cstheme="minorHAnsi"/>
          <w:color w:val="000000"/>
          <w:sz w:val="22"/>
          <w:szCs w:val="22"/>
          <w:bdr w:val="none" w:sz="0" w:space="0" w:color="auto" w:frame="1"/>
          <w:shd w:val="clear" w:color="auto" w:fill="FFFFFF"/>
        </w:rPr>
        <w:t xml:space="preserve"> including potential palliative and end of life care (B2.08f).  The student will have exposure to patients requiring acute, chronic, emergent, and preventative care (B3.03a).  There is potential for exposure to behavioral and/or mental health conditions (B3.03e).  Participating in night and weekend hours may be required. Course may be used to fulfill program requirement of service to medically underserved populations.</w:t>
      </w:r>
    </w:p>
    <w:p w14:paraId="6A89BA2D" w14:textId="77777777" w:rsidR="00DB36C8" w:rsidRDefault="00DB36C8" w:rsidP="00681824">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0D9C1503"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7D63C7">
        <w:rPr>
          <w:rFonts w:asciiTheme="minorHAnsi" w:hAnsiTheme="minorHAnsi" w:cstheme="minorHAnsi"/>
          <w:color w:val="auto"/>
          <w:sz w:val="22"/>
          <w:szCs w:val="22"/>
        </w:rPr>
        <w:t xml:space="preserve">may </w:t>
      </w:r>
      <w:r>
        <w:rPr>
          <w:rFonts w:asciiTheme="minorHAnsi" w:hAnsiTheme="minorHAnsi" w:cstheme="minorHAnsi"/>
          <w:color w:val="auto"/>
          <w:sz w:val="22"/>
          <w:szCs w:val="22"/>
        </w:rPr>
        <w:t>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204B6831" w14:textId="37214694"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a) for preventive, emergent, acute and chronic patient encounters,</w:t>
      </w:r>
    </w:p>
    <w:p w14:paraId="72BDE140" w14:textId="29724846"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DA312F">
        <w:rPr>
          <w:rFonts w:asciiTheme="minorHAnsi" w:hAnsiTheme="minorHAnsi" w:cstheme="minorHAnsi"/>
          <w:sz w:val="22"/>
          <w:szCs w:val="22"/>
        </w:rPr>
        <w:t>infants, children, adolescents</w:t>
      </w:r>
      <w:r>
        <w:rPr>
          <w:rFonts w:asciiTheme="minorHAnsi" w:hAnsiTheme="minorHAnsi" w:cstheme="minorHAnsi"/>
          <w:sz w:val="22"/>
          <w:szCs w:val="22"/>
        </w:rPr>
        <w:t xml:space="preserve">, </w:t>
      </w:r>
      <w:r w:rsidRPr="00DA312F">
        <w:rPr>
          <w:rFonts w:asciiTheme="minorHAnsi" w:hAnsiTheme="minorHAnsi" w:cstheme="minorHAnsi"/>
          <w:b/>
          <w:bCs/>
          <w:sz w:val="22"/>
          <w:szCs w:val="22"/>
        </w:rPr>
        <w:t>adults and the elderly</w:t>
      </w:r>
      <w:r>
        <w:rPr>
          <w:rFonts w:asciiTheme="minorHAnsi" w:hAnsiTheme="minorHAnsi" w:cstheme="minorHAnsi"/>
          <w:sz w:val="22"/>
          <w:szCs w:val="22"/>
        </w:rPr>
        <w:t xml:space="preserve">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women’s health (to include </w:t>
      </w:r>
      <w:r w:rsidRPr="00DB36C8">
        <w:rPr>
          <w:rFonts w:asciiTheme="minorHAnsi" w:hAnsiTheme="minorHAnsi" w:cstheme="minorHAnsi"/>
          <w:sz w:val="22"/>
          <w:szCs w:val="22"/>
        </w:rPr>
        <w:t xml:space="preserve">prenatal </w:t>
      </w:r>
      <w:r>
        <w:rPr>
          <w:rFonts w:asciiTheme="minorHAnsi" w:hAnsiTheme="minorHAnsi" w:cstheme="minorHAnsi"/>
          <w:sz w:val="22"/>
          <w:szCs w:val="22"/>
        </w:rPr>
        <w:t xml:space="preserve">and </w:t>
      </w:r>
      <w:r w:rsidRPr="00DA312F">
        <w:rPr>
          <w:rFonts w:asciiTheme="minorHAnsi" w:hAnsiTheme="minorHAnsi" w:cstheme="minorHAnsi"/>
          <w:sz w:val="22"/>
          <w:szCs w:val="22"/>
        </w:rPr>
        <w:t>gynecologic care)</w:t>
      </w:r>
    </w:p>
    <w:p w14:paraId="3AB60F83" w14:textId="181AB955"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E2EE1FF" w:rsidR="001A72EE" w:rsidRPr="0006684F"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in</w:t>
      </w:r>
      <w:r w:rsidR="001A72EE" w:rsidRPr="00232CAF">
        <w:rPr>
          <w:rFonts w:asciiTheme="minorHAnsi" w:hAnsiTheme="minorHAnsi" w:cstheme="minorHAnsi"/>
          <w:b/>
          <w:bCs/>
          <w:sz w:val="22"/>
          <w:szCs w:val="22"/>
        </w:rPr>
        <w:t>patient</w:t>
      </w:r>
      <w:r w:rsidR="001A72EE">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00FAD9E7"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DB36C8">
        <w:rPr>
          <w:rFonts w:cstheme="minorHAnsi"/>
          <w:bCs/>
          <w:iCs/>
        </w:rPr>
        <w:t>inpatient</w:t>
      </w:r>
      <w:r w:rsidR="00AB443D">
        <w:rPr>
          <w:rFonts w:cstheme="minorHAnsi"/>
          <w:bCs/>
          <w:iCs/>
        </w:rPr>
        <w:t xml:space="preserve"> </w:t>
      </w:r>
      <w:r w:rsidR="00DA312F">
        <w:rPr>
          <w:rFonts w:cstheme="minorHAnsi"/>
          <w:bCs/>
          <w:iCs/>
        </w:rPr>
        <w:t>adult</w:t>
      </w:r>
      <w:r w:rsidR="00DB36C8">
        <w:rPr>
          <w:rFonts w:cstheme="minorHAnsi"/>
          <w:bCs/>
          <w:iCs/>
        </w:rPr>
        <w:t xml:space="preserve"> medicine</w:t>
      </w:r>
      <w:r w:rsidR="00AB443D">
        <w:rPr>
          <w:rFonts w:cstheme="minorHAnsi"/>
          <w:bCs/>
          <w:iCs/>
        </w:rPr>
        <w:t xml:space="preserve"> specifically, this course will allow learners to</w:t>
      </w:r>
      <w:r w:rsidR="0057171A">
        <w:rPr>
          <w:rFonts w:cstheme="minorHAnsi"/>
          <w:bCs/>
          <w:iCs/>
        </w:rPr>
        <w:t>:</w:t>
      </w:r>
    </w:p>
    <w:p w14:paraId="1FE75DB2" w14:textId="2D0AD5B0"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00DA312F">
        <w:rPr>
          <w:rFonts w:cstheme="minorHAnsi"/>
          <w:b/>
          <w:iCs/>
        </w:rPr>
        <w:t xml:space="preserve">adults and the elderly </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4A81CF44"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an </w:t>
      </w:r>
      <w:r w:rsidR="00DA312F">
        <w:rPr>
          <w:rFonts w:cstheme="minorHAnsi"/>
          <w:b/>
          <w:iCs/>
        </w:rPr>
        <w:t>adult or elderly</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7A072D18"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177895">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lastRenderedPageBreak/>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Provide anticipatory guidance including health promotion, </w:t>
            </w:r>
            <w:r w:rsidRPr="00232CAF">
              <w:rPr>
                <w:rStyle w:val="textlayer--absolute"/>
                <w:rFonts w:cstheme="minorHAnsi"/>
              </w:rPr>
              <w:lastRenderedPageBreak/>
              <w:t>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lastRenderedPageBreak/>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lastRenderedPageBreak/>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37DEDB46" w:rsidR="007D63C7" w:rsidRDefault="007D63C7">
      <w:r>
        <w:br w:type="page"/>
      </w:r>
    </w:p>
    <w:p w14:paraId="066093A4" w14:textId="77777777" w:rsidR="007D63C7" w:rsidRPr="00BC57DB" w:rsidRDefault="007D63C7"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420CA570" w14:textId="77777777" w:rsidR="007D63C7" w:rsidRPr="009367A3" w:rsidRDefault="007D63C7" w:rsidP="009367A3">
      <w:pPr>
        <w:jc w:val="both"/>
        <w:rPr>
          <w:sz w:val="18"/>
          <w:szCs w:val="18"/>
        </w:rPr>
      </w:pPr>
      <w:r w:rsidRPr="009367A3">
        <w:rPr>
          <w:sz w:val="18"/>
          <w:szCs w:val="18"/>
        </w:rPr>
        <w:t>Below are the program’s expected clinical and technical skills.  Please log in Typhon under “observed” or “performed” as appropriate.</w:t>
      </w:r>
    </w:p>
    <w:p w14:paraId="7A338FA1" w14:textId="77777777" w:rsidR="007D63C7" w:rsidRPr="009367A3" w:rsidRDefault="007D63C7"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2719FA71"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safety and prevention counseling with adults</w:t>
      </w:r>
    </w:p>
    <w:p w14:paraId="2AA98AB5"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anticipatory guidance with pediatric patients/family</w:t>
      </w:r>
    </w:p>
    <w:p w14:paraId="453B0A6F"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050C258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laceration repair (e.g., glue, staples, and/or suture)</w:t>
      </w:r>
    </w:p>
    <w:p w14:paraId="3E07B642"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48E7C72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EKG interpretation</w:t>
      </w:r>
    </w:p>
    <w:p w14:paraId="7ECF564A"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rectal exam (anoscopy and/or DRE)</w:t>
      </w:r>
    </w:p>
    <w:p w14:paraId="732E4725"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testicular exam</w:t>
      </w:r>
    </w:p>
    <w:p w14:paraId="516C56CB"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casting and/or splinting</w:t>
      </w:r>
    </w:p>
    <w:p w14:paraId="444A896E"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bimanual pelvic exam</w:t>
      </w:r>
    </w:p>
    <w:p w14:paraId="7A87191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clinical breast exam</w:t>
      </w:r>
    </w:p>
    <w:p w14:paraId="2BD9DF1F"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prenatal care counseling</w:t>
      </w:r>
    </w:p>
    <w:p w14:paraId="60516D6B"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vaginal speculum exam/pap smear</w:t>
      </w:r>
    </w:p>
    <w:p w14:paraId="2EDF94D0"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aseptic technique</w:t>
      </w:r>
    </w:p>
    <w:p w14:paraId="525CBB77"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injections (SC, IM, intradermal)</w:t>
      </w:r>
    </w:p>
    <w:p w14:paraId="4A909E25"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local anesthesia (subQ, infiltration, digital nerve block)</w:t>
      </w:r>
    </w:p>
    <w:p w14:paraId="290FCA15" w14:textId="77777777" w:rsidR="007D63C7" w:rsidRPr="009367A3" w:rsidRDefault="007D63C7" w:rsidP="007D63C7">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5DC85CE5" w14:textId="77777777" w:rsidR="007D63C7" w:rsidRPr="009367A3" w:rsidRDefault="007D63C7" w:rsidP="007D63C7">
      <w:pPr>
        <w:numPr>
          <w:ilvl w:val="1"/>
          <w:numId w:val="26"/>
        </w:numPr>
        <w:spacing w:line="240" w:lineRule="auto"/>
        <w:contextualSpacing/>
        <w:rPr>
          <w:sz w:val="20"/>
          <w:szCs w:val="20"/>
        </w:rPr>
      </w:pPr>
      <w:r w:rsidRPr="009367A3">
        <w:rPr>
          <w:sz w:val="20"/>
          <w:szCs w:val="20"/>
        </w:rPr>
        <w:t>U/A, urine pregnancy, and/or hemoccult</w:t>
      </w:r>
    </w:p>
    <w:p w14:paraId="6AA0B227" w14:textId="77777777" w:rsidR="007D63C7" w:rsidRPr="009367A3" w:rsidRDefault="007D63C7" w:rsidP="007D63C7">
      <w:pPr>
        <w:numPr>
          <w:ilvl w:val="1"/>
          <w:numId w:val="26"/>
        </w:numPr>
        <w:spacing w:line="240" w:lineRule="auto"/>
        <w:contextualSpacing/>
        <w:rPr>
          <w:sz w:val="20"/>
          <w:szCs w:val="20"/>
        </w:rPr>
      </w:pPr>
      <w:r w:rsidRPr="009367A3">
        <w:rPr>
          <w:sz w:val="20"/>
          <w:szCs w:val="20"/>
        </w:rPr>
        <w:t>Finger/heel stick: lead, glucose, and/or hemoglobin</w:t>
      </w:r>
    </w:p>
    <w:p w14:paraId="31DF70C3" w14:textId="77777777" w:rsidR="007D63C7" w:rsidRPr="009367A3" w:rsidRDefault="007D63C7" w:rsidP="007D63C7">
      <w:pPr>
        <w:numPr>
          <w:ilvl w:val="1"/>
          <w:numId w:val="26"/>
        </w:numPr>
        <w:spacing w:line="240" w:lineRule="auto"/>
        <w:contextualSpacing/>
        <w:rPr>
          <w:sz w:val="20"/>
          <w:szCs w:val="20"/>
        </w:rPr>
      </w:pPr>
      <w:r w:rsidRPr="009367A3">
        <w:rPr>
          <w:sz w:val="20"/>
          <w:szCs w:val="20"/>
        </w:rPr>
        <w:t xml:space="preserve">Rapid testing:  HIV, RSV, Covid, Strep, and/or Flu </w:t>
      </w:r>
    </w:p>
    <w:p w14:paraId="63F5C69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6CFD828" w14:textId="77777777" w:rsidR="007D63C7" w:rsidRDefault="007D63C7" w:rsidP="007D63C7">
      <w:pPr>
        <w:numPr>
          <w:ilvl w:val="0"/>
          <w:numId w:val="26"/>
        </w:numPr>
        <w:spacing w:line="240" w:lineRule="auto"/>
        <w:contextualSpacing/>
        <w:rPr>
          <w:sz w:val="20"/>
          <w:szCs w:val="20"/>
        </w:rPr>
      </w:pPr>
      <w:r w:rsidRPr="009367A3">
        <w:rPr>
          <w:sz w:val="20"/>
          <w:szCs w:val="20"/>
        </w:rPr>
        <w:t>Perform x-ray interpretation</w:t>
      </w:r>
    </w:p>
    <w:p w14:paraId="4EA45FCE" w14:textId="77777777" w:rsidR="007D63C7" w:rsidRDefault="007D63C7" w:rsidP="009367A3">
      <w:pPr>
        <w:spacing w:line="240" w:lineRule="auto"/>
        <w:ind w:left="360"/>
        <w:contextualSpacing/>
        <w:rPr>
          <w:sz w:val="20"/>
          <w:szCs w:val="20"/>
        </w:rPr>
      </w:pPr>
    </w:p>
    <w:p w14:paraId="12FC438C" w14:textId="77777777" w:rsidR="007D63C7" w:rsidRDefault="007D63C7"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72B7FFF0"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end of life wishes/DNR discussion</w:t>
      </w:r>
    </w:p>
    <w:p w14:paraId="17E28F3A"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cryotherapy</w:t>
      </w:r>
    </w:p>
    <w:p w14:paraId="699D736B"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5861B76C" w14:textId="77777777" w:rsidR="007D63C7" w:rsidRDefault="007D63C7" w:rsidP="007D63C7">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37C68520" w14:textId="77777777" w:rsidR="007D63C7" w:rsidRPr="00FF0933" w:rsidRDefault="007D63C7" w:rsidP="009367A3">
      <w:pPr>
        <w:pStyle w:val="ListParagraph"/>
        <w:spacing w:line="240" w:lineRule="auto"/>
        <w:ind w:left="360"/>
        <w:rPr>
          <w:sz w:val="20"/>
          <w:szCs w:val="20"/>
        </w:rPr>
      </w:pPr>
      <w:r w:rsidRPr="00FF0933">
        <w:rPr>
          <w:sz w:val="20"/>
          <w:szCs w:val="20"/>
        </w:rPr>
        <w:t xml:space="preserve">suture/staple removal) </w:t>
      </w:r>
    </w:p>
    <w:p w14:paraId="55EDDCC3"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213B1143"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nebulizer treatment</w:t>
      </w:r>
    </w:p>
    <w:p w14:paraId="72120ACF"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joint aspiration and/or injection</w:t>
      </w:r>
    </w:p>
    <w:p w14:paraId="39358E60"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wet prep (with KOH and saline)</w:t>
      </w:r>
    </w:p>
    <w:p w14:paraId="56A3D75C" w14:textId="77777777" w:rsidR="007D63C7" w:rsidRDefault="007D63C7" w:rsidP="007D63C7">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6689C022" w14:textId="77777777" w:rsidR="007D63C7" w:rsidRDefault="007D63C7" w:rsidP="009367A3">
      <w:pPr>
        <w:pStyle w:val="ListParagraph"/>
        <w:spacing w:line="240" w:lineRule="auto"/>
        <w:ind w:left="360"/>
        <w:rPr>
          <w:sz w:val="20"/>
          <w:szCs w:val="20"/>
        </w:rPr>
      </w:pPr>
    </w:p>
    <w:p w14:paraId="4D9CBEC7" w14:textId="77777777" w:rsidR="007D63C7" w:rsidRPr="00FF0933" w:rsidRDefault="007D63C7" w:rsidP="009367A3">
      <w:pPr>
        <w:rPr>
          <w:b/>
          <w:bCs/>
          <w:sz w:val="20"/>
          <w:szCs w:val="20"/>
        </w:rPr>
      </w:pPr>
      <w:r w:rsidRPr="00FF0933">
        <w:rPr>
          <w:b/>
          <w:bCs/>
          <w:sz w:val="20"/>
          <w:szCs w:val="20"/>
        </w:rPr>
        <w:t xml:space="preserve">OBSERVE </w:t>
      </w:r>
    </w:p>
    <w:p w14:paraId="114FBDC0" w14:textId="77777777" w:rsidR="007D63C7" w:rsidRDefault="007D63C7" w:rsidP="007D63C7">
      <w:pPr>
        <w:pStyle w:val="ListParagraph"/>
        <w:numPr>
          <w:ilvl w:val="0"/>
          <w:numId w:val="27"/>
        </w:numPr>
        <w:spacing w:line="240" w:lineRule="auto"/>
        <w:rPr>
          <w:sz w:val="20"/>
          <w:szCs w:val="20"/>
        </w:rPr>
      </w:pPr>
      <w:r w:rsidRPr="00FF0933">
        <w:rPr>
          <w:sz w:val="20"/>
          <w:szCs w:val="20"/>
        </w:rPr>
        <w:t>Observe lumbar puncture</w:t>
      </w:r>
    </w:p>
    <w:p w14:paraId="3B2F1FFA" w14:textId="77777777" w:rsidR="007D63C7" w:rsidRDefault="007D63C7" w:rsidP="009367A3">
      <w:pPr>
        <w:pStyle w:val="ListParagraph"/>
        <w:spacing w:line="240" w:lineRule="auto"/>
        <w:ind w:left="360"/>
        <w:rPr>
          <w:sz w:val="20"/>
          <w:szCs w:val="20"/>
        </w:rPr>
      </w:pPr>
    </w:p>
    <w:p w14:paraId="19EAA0A0" w14:textId="77777777" w:rsidR="007D63C7" w:rsidRPr="00FF0933" w:rsidRDefault="007D63C7" w:rsidP="009367A3">
      <w:pPr>
        <w:rPr>
          <w:b/>
          <w:bCs/>
          <w:sz w:val="20"/>
          <w:szCs w:val="20"/>
        </w:rPr>
      </w:pPr>
      <w:r w:rsidRPr="00FF0933">
        <w:rPr>
          <w:b/>
          <w:bCs/>
          <w:sz w:val="20"/>
          <w:szCs w:val="20"/>
        </w:rPr>
        <w:t>RECOMMENDED BUT NOT REQUIRED</w:t>
      </w:r>
    </w:p>
    <w:p w14:paraId="5920D5B1" w14:textId="77777777" w:rsidR="007D63C7" w:rsidRPr="00FF0933" w:rsidRDefault="007D63C7" w:rsidP="007D63C7">
      <w:pPr>
        <w:pStyle w:val="ListParagraph"/>
        <w:numPr>
          <w:ilvl w:val="0"/>
          <w:numId w:val="27"/>
        </w:numPr>
        <w:spacing w:line="240" w:lineRule="auto"/>
        <w:rPr>
          <w:i/>
          <w:iCs/>
          <w:sz w:val="20"/>
          <w:szCs w:val="20"/>
        </w:rPr>
      </w:pPr>
      <w:r w:rsidRPr="00FF0933">
        <w:rPr>
          <w:i/>
          <w:iCs/>
          <w:sz w:val="20"/>
          <w:szCs w:val="20"/>
        </w:rPr>
        <w:t>Observe or perform endotracheal intubation</w:t>
      </w:r>
    </w:p>
    <w:p w14:paraId="5BB2D0A6" w14:textId="77777777" w:rsidR="007D63C7" w:rsidRPr="00FF0933" w:rsidRDefault="007D63C7" w:rsidP="007D63C7">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75FB58FA" w14:textId="77777777" w:rsidR="007D63C7" w:rsidRPr="00FF0933" w:rsidRDefault="007D63C7" w:rsidP="007D63C7">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46916582" w14:textId="77777777" w:rsidR="007D63C7" w:rsidRDefault="007D63C7" w:rsidP="007D63C7">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52EFFB46" w14:textId="77777777" w:rsidR="007D63C7" w:rsidRPr="00FF0933" w:rsidRDefault="007D63C7" w:rsidP="009367A3">
      <w:pPr>
        <w:pStyle w:val="ListParagraph"/>
        <w:spacing w:line="240" w:lineRule="auto"/>
        <w:ind w:left="360"/>
        <w:rPr>
          <w:i/>
          <w:iCs/>
          <w:sz w:val="20"/>
          <w:szCs w:val="20"/>
        </w:rPr>
      </w:pPr>
      <w:r w:rsidRPr="00FF0933">
        <w:rPr>
          <w:i/>
          <w:iCs/>
          <w:sz w:val="20"/>
          <w:szCs w:val="20"/>
        </w:rPr>
        <w:t>Bartholin gland marsupialization, breast biopsy, etc)</w:t>
      </w:r>
    </w:p>
    <w:p w14:paraId="5B879E78" w14:textId="77777777" w:rsidR="007D63C7" w:rsidRDefault="007D63C7" w:rsidP="007D63C7">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7CD74CF6" w14:textId="77777777" w:rsidR="007D63C7" w:rsidRDefault="007D63C7" w:rsidP="007D63C7">
      <w:pPr>
        <w:pStyle w:val="ListParagraph"/>
        <w:numPr>
          <w:ilvl w:val="0"/>
          <w:numId w:val="27"/>
        </w:numPr>
        <w:spacing w:line="240" w:lineRule="auto"/>
      </w:pPr>
      <w:r w:rsidRPr="00F62540">
        <w:rPr>
          <w:i/>
          <w:iCs/>
          <w:sz w:val="20"/>
          <w:szCs w:val="20"/>
        </w:rPr>
        <w:t xml:space="preserve">Perform Venipuncture </w:t>
      </w:r>
    </w:p>
    <w:p w14:paraId="7B8ED555" w14:textId="77777777" w:rsidR="00DF391E" w:rsidRDefault="00DF391E" w:rsidP="001861E3"/>
    <w:p w14:paraId="696B0D3D" w14:textId="77777777" w:rsidR="007D63C7" w:rsidRPr="002D36EA" w:rsidRDefault="007D63C7" w:rsidP="00255069">
      <w:pPr>
        <w:rPr>
          <w:rFonts w:ascii="Aptos" w:hAnsi="Aptos"/>
          <w:b/>
          <w:bCs/>
          <w:iCs/>
          <w:u w:val="single"/>
        </w:rPr>
      </w:pPr>
      <w:r w:rsidRPr="002D36EA">
        <w:rPr>
          <w:rFonts w:ascii="Aptos" w:hAnsi="Aptos"/>
          <w:b/>
          <w:bCs/>
          <w:iCs/>
          <w:u w:val="single"/>
        </w:rPr>
        <w:lastRenderedPageBreak/>
        <w:t>Appendix B: Clinical Presentations</w:t>
      </w:r>
    </w:p>
    <w:p w14:paraId="4AE7C16A" w14:textId="77777777" w:rsidR="007D63C7" w:rsidRPr="00D53C36" w:rsidRDefault="007D63C7" w:rsidP="001301BA">
      <w:pPr>
        <w:pStyle w:val="ListParagraph"/>
        <w:spacing w:after="0"/>
        <w:jc w:val="center"/>
        <w:rPr>
          <w:i/>
        </w:rPr>
        <w:sectPr w:rsidR="007D63C7" w:rsidRPr="00D53C36" w:rsidSect="007D63C7">
          <w:headerReference w:type="first" r:id="rId11"/>
          <w:type w:val="continuous"/>
          <w:pgSz w:w="12240" w:h="15840"/>
          <w:pgMar w:top="720" w:right="720" w:bottom="720" w:left="720" w:header="720" w:footer="720" w:gutter="0"/>
          <w:cols w:space="720"/>
          <w:docGrid w:linePitch="360"/>
        </w:sectPr>
      </w:pPr>
    </w:p>
    <w:p w14:paraId="37F3DAB2"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2119BAA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731B5AC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7B76A5F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11CAB42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286DFC8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1E7DC85F" w14:textId="77777777" w:rsidR="007D63C7" w:rsidRPr="00282113" w:rsidRDefault="007D63C7" w:rsidP="00C36EBC">
      <w:pPr>
        <w:spacing w:after="0" w:line="240" w:lineRule="auto"/>
        <w:rPr>
          <w:rFonts w:ascii="Calibri" w:eastAsia="Times New Roman" w:hAnsi="Calibri" w:cs="Calibri"/>
          <w:color w:val="000000"/>
          <w:sz w:val="18"/>
          <w:szCs w:val="18"/>
        </w:rPr>
      </w:pPr>
    </w:p>
    <w:p w14:paraId="5A7CAB9E"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7BD0B4B2"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10B10AE0"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72FAF0BD"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1FF279CC"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343759C2"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4A7B285D" w14:textId="77777777" w:rsidR="007D63C7" w:rsidRPr="00282113" w:rsidRDefault="007D63C7" w:rsidP="00C36EBC">
      <w:pPr>
        <w:spacing w:after="0" w:line="240" w:lineRule="auto"/>
        <w:rPr>
          <w:rFonts w:ascii="Calibri" w:eastAsia="Times New Roman" w:hAnsi="Calibri" w:cs="Calibri"/>
          <w:color w:val="000000"/>
          <w:sz w:val="18"/>
          <w:szCs w:val="18"/>
        </w:rPr>
      </w:pPr>
    </w:p>
    <w:p w14:paraId="71C85D29"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2EAAE4E2"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6D1B76A9" w14:textId="77777777" w:rsidR="007D63C7" w:rsidRPr="00282113" w:rsidRDefault="007D63C7" w:rsidP="007D63C7">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51A412F3" w14:textId="77777777" w:rsidR="007D63C7" w:rsidRPr="00282113" w:rsidRDefault="007D63C7" w:rsidP="007D63C7">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1E77E14D" w14:textId="77777777" w:rsidR="007D63C7" w:rsidRPr="00282113" w:rsidRDefault="007D63C7" w:rsidP="007D63C7">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780B0576" w14:textId="77777777" w:rsidR="007D63C7" w:rsidRPr="00282113" w:rsidRDefault="007D63C7" w:rsidP="00C36EBC">
      <w:pPr>
        <w:spacing w:after="0" w:line="240" w:lineRule="auto"/>
        <w:rPr>
          <w:rFonts w:ascii="Calibri" w:eastAsia="Times New Roman" w:hAnsi="Calibri" w:cs="Calibri"/>
          <w:color w:val="000000"/>
          <w:sz w:val="18"/>
          <w:szCs w:val="18"/>
        </w:rPr>
      </w:pPr>
    </w:p>
    <w:p w14:paraId="59DD6C70"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1E95E62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77ABE58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189120B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12A100FF"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45AFFB6C"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0B4D2E56"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2AF7536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6D46D501"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5166719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62215D6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35089880"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25CF31CE"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18B6745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2A9B0D6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195DADF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39E7A12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061DB5B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3CD062C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216A4276"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04847E5D" w14:textId="77777777" w:rsidR="007D63C7" w:rsidRPr="00282113" w:rsidRDefault="007D63C7"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69F072E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4875D05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6AC6055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49C90C11"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40E0BA1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084F32D6"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615DFD9A"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6DD6F02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69C922D9"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644ACEB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24E88A2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080823C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3B515293" w14:textId="77777777" w:rsidR="007D63C7" w:rsidRPr="00282113" w:rsidRDefault="007D63C7" w:rsidP="00C36EBC">
      <w:pPr>
        <w:spacing w:after="0" w:line="240" w:lineRule="auto"/>
        <w:rPr>
          <w:rFonts w:ascii="Calibri" w:eastAsia="Times New Roman" w:hAnsi="Calibri" w:cs="Calibri"/>
          <w:color w:val="000000"/>
          <w:sz w:val="18"/>
          <w:szCs w:val="18"/>
        </w:rPr>
      </w:pPr>
    </w:p>
    <w:p w14:paraId="39D99D9B"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6C8012BB"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085B7E7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390EFEFC"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0F58D10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5D57DE52"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0EF8D565" w14:textId="77777777" w:rsidR="007D63C7" w:rsidRPr="00282113" w:rsidRDefault="007D63C7" w:rsidP="00C36EBC">
      <w:pPr>
        <w:spacing w:after="0"/>
        <w:rPr>
          <w:rFonts w:ascii="Calibri" w:eastAsia="Times New Roman" w:hAnsi="Calibri" w:cs="Calibri"/>
          <w:color w:val="000000"/>
          <w:sz w:val="18"/>
          <w:szCs w:val="18"/>
          <w:u w:val="single"/>
        </w:rPr>
      </w:pPr>
    </w:p>
    <w:p w14:paraId="7B1F42DA" w14:textId="77777777" w:rsidR="007D63C7" w:rsidRPr="00282113" w:rsidRDefault="007D63C7"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7954AA1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400F23BB"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1FDA86E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1D75970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432F6B8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0D3C727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6300B61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2D578A25"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125B80D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5B6A71F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1DA259CF" w14:textId="77777777" w:rsidR="007D63C7" w:rsidRPr="00282113" w:rsidRDefault="007D63C7" w:rsidP="00C36EBC">
      <w:pPr>
        <w:spacing w:after="0" w:line="240" w:lineRule="auto"/>
        <w:rPr>
          <w:rFonts w:ascii="Calibri" w:eastAsia="Times New Roman" w:hAnsi="Calibri" w:cs="Calibri"/>
          <w:color w:val="000000"/>
          <w:sz w:val="18"/>
          <w:szCs w:val="18"/>
        </w:rPr>
      </w:pPr>
    </w:p>
    <w:p w14:paraId="785C2E91"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03735EC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7C0698C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242010D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7D33D0D0" w14:textId="77777777" w:rsidR="007D63C7"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47DEB64B" w14:textId="77777777" w:rsidR="007D63C7" w:rsidRPr="00282113" w:rsidRDefault="007D63C7" w:rsidP="00C36EBC">
      <w:pPr>
        <w:spacing w:after="0" w:line="240" w:lineRule="auto"/>
        <w:rPr>
          <w:rFonts w:ascii="Calibri" w:eastAsia="Times New Roman" w:hAnsi="Calibri" w:cs="Calibri"/>
          <w:color w:val="000000"/>
          <w:sz w:val="18"/>
          <w:szCs w:val="18"/>
        </w:rPr>
      </w:pPr>
    </w:p>
    <w:p w14:paraId="46044977"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2D833B7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1E8DFB69" w14:textId="77777777" w:rsidR="007D63C7" w:rsidRPr="00282113" w:rsidRDefault="007D63C7"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47F2AC2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43C4540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5DD858E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4FD8416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36520D4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04D4E046"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75AC91BA"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785F848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036C27E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6743A24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28B67EE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7C3015D9"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5BC3182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6683310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51FC48E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5685E00B"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68F0F82F"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7F6E1C61"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3E43B85D"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47049CD4"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17015114"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28901A8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3B5556C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53EDCAB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4865C1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1188C6F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47469474"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79B9F6FC" w14:textId="77777777" w:rsidR="007D63C7" w:rsidRPr="00282113" w:rsidRDefault="007D63C7" w:rsidP="00C36EBC">
      <w:pPr>
        <w:spacing w:after="0" w:line="240" w:lineRule="auto"/>
        <w:rPr>
          <w:rFonts w:ascii="Calibri" w:eastAsia="Times New Roman" w:hAnsi="Calibri" w:cs="Calibri"/>
          <w:color w:val="000000"/>
          <w:sz w:val="18"/>
          <w:szCs w:val="18"/>
        </w:rPr>
      </w:pPr>
    </w:p>
    <w:p w14:paraId="6E45215F"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6D1E353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3AEC7AF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1D370711"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6316D1C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7D7A4E0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5811409B"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28E86C2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7788DE1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58BD09B9"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672AD14D" w14:textId="77777777" w:rsidR="007D63C7"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70AC61AB" w14:textId="77777777" w:rsidR="007D63C7" w:rsidRPr="00D53C36" w:rsidRDefault="007D63C7" w:rsidP="00A752E9">
      <w:pPr>
        <w:spacing w:after="0" w:line="240" w:lineRule="auto"/>
        <w:rPr>
          <w:rFonts w:ascii="Calibri" w:eastAsia="Times New Roman" w:hAnsi="Calibri" w:cs="Calibri"/>
          <w:color w:val="000000"/>
          <w:sz w:val="16"/>
          <w:szCs w:val="16"/>
        </w:rPr>
        <w:sectPr w:rsidR="007D63C7" w:rsidRPr="00D53C36" w:rsidSect="007D63C7">
          <w:type w:val="continuous"/>
          <w:pgSz w:w="12240" w:h="15840"/>
          <w:pgMar w:top="1440" w:right="900" w:bottom="1440" w:left="1440" w:header="720" w:footer="720" w:gutter="0"/>
          <w:cols w:num="3" w:space="225"/>
          <w:docGrid w:linePitch="360"/>
        </w:sectPr>
      </w:pPr>
    </w:p>
    <w:p w14:paraId="202BD023" w14:textId="77777777" w:rsidR="007D63C7" w:rsidRDefault="007D63C7" w:rsidP="00EA34FA">
      <w:pPr>
        <w:spacing w:after="0"/>
        <w:rPr>
          <w:rStyle w:val="textlayer--absolute"/>
          <w:rFonts w:ascii="Calibri" w:hAnsi="Calibri" w:cs="Calibri"/>
          <w:u w:val="single"/>
        </w:rPr>
      </w:pPr>
    </w:p>
    <w:p w14:paraId="4BDCA1A9" w14:textId="77777777" w:rsidR="007D63C7" w:rsidRPr="009901FB" w:rsidRDefault="007D63C7" w:rsidP="009901FB">
      <w:pPr>
        <w:rPr>
          <w:rFonts w:ascii="Calibri" w:hAnsi="Calibri" w:cs="Calibri"/>
        </w:rPr>
      </w:pPr>
    </w:p>
    <w:p w14:paraId="6A32AD27" w14:textId="77777777" w:rsidR="007D63C7" w:rsidRPr="009901FB" w:rsidRDefault="007D63C7" w:rsidP="009901FB">
      <w:pPr>
        <w:rPr>
          <w:rFonts w:ascii="Calibri" w:hAnsi="Calibri" w:cs="Calibri"/>
        </w:rPr>
      </w:pPr>
    </w:p>
    <w:p w14:paraId="3529AC6D" w14:textId="77777777" w:rsidR="007D63C7" w:rsidRPr="009901FB" w:rsidRDefault="007D63C7" w:rsidP="009901FB">
      <w:pPr>
        <w:rPr>
          <w:rFonts w:ascii="Calibri" w:hAnsi="Calibri" w:cs="Calibri"/>
        </w:rPr>
      </w:pPr>
    </w:p>
    <w:p w14:paraId="1AC8A3B9" w14:textId="77777777" w:rsidR="007D63C7" w:rsidRPr="009901FB" w:rsidRDefault="007D63C7" w:rsidP="009901FB">
      <w:pPr>
        <w:rPr>
          <w:rFonts w:ascii="Calibri" w:hAnsi="Calibri" w:cs="Calibri"/>
        </w:rPr>
      </w:pPr>
    </w:p>
    <w:p w14:paraId="1E3DA6AF" w14:textId="77777777" w:rsidR="007D63C7" w:rsidRPr="009901FB" w:rsidRDefault="007D63C7" w:rsidP="009901FB">
      <w:pPr>
        <w:rPr>
          <w:rFonts w:ascii="Calibri" w:hAnsi="Calibri" w:cs="Calibri"/>
        </w:rPr>
      </w:pPr>
    </w:p>
    <w:p w14:paraId="3E303D13" w14:textId="77777777" w:rsidR="007D63C7" w:rsidRPr="009901FB" w:rsidRDefault="007D63C7" w:rsidP="009901FB">
      <w:pPr>
        <w:rPr>
          <w:rFonts w:ascii="Calibri" w:hAnsi="Calibri" w:cs="Calibri"/>
        </w:rPr>
      </w:pPr>
    </w:p>
    <w:p w14:paraId="5BA3CFE7" w14:textId="77777777" w:rsidR="007D63C7" w:rsidRPr="009901FB" w:rsidRDefault="007D63C7" w:rsidP="009901FB">
      <w:pPr>
        <w:tabs>
          <w:tab w:val="left" w:pos="7410"/>
        </w:tabs>
        <w:rPr>
          <w:rFonts w:ascii="Calibri" w:hAnsi="Calibri" w:cs="Calibri"/>
        </w:rPr>
      </w:pPr>
      <w:r>
        <w:rPr>
          <w:rFonts w:ascii="Calibri" w:hAnsi="Calibri" w:cs="Calibri"/>
        </w:rPr>
        <w:tab/>
      </w:r>
    </w:p>
    <w:p w14:paraId="03F6B17C" w14:textId="77777777" w:rsidR="007D63C7" w:rsidRPr="006668E6" w:rsidRDefault="007D63C7" w:rsidP="001861E3"/>
    <w:sectPr w:rsidR="007D63C7"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AE21" w14:textId="77777777" w:rsidR="007D63C7" w:rsidRDefault="007D63C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1D68"/>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77895"/>
    <w:rsid w:val="00181F75"/>
    <w:rsid w:val="001861E3"/>
    <w:rsid w:val="00196031"/>
    <w:rsid w:val="001967B4"/>
    <w:rsid w:val="001A72EE"/>
    <w:rsid w:val="001B0406"/>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0689"/>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D63C7"/>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2FD"/>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312F"/>
    <w:rsid w:val="00DA7885"/>
    <w:rsid w:val="00DB36C8"/>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2025-07-31T21:35:00Z</dcterms:created>
  <dcterms:modified xsi:type="dcterms:W3CDTF">2025-08-11T19:58:00Z</dcterms:modified>
</cp:coreProperties>
</file>