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617A6" w14:textId="0D8FF749" w:rsidR="007053C6" w:rsidRDefault="008B6AFD" w:rsidP="007053C6">
      <w:pPr>
        <w:rPr>
          <w:rFonts w:eastAsia="Trebuchet MS" w:cs="Trebuchet MS"/>
          <w:color w:val="000000" w:themeColor="text1"/>
        </w:rPr>
      </w:pPr>
      <w:r>
        <w:rPr>
          <w:rFonts w:eastAsia="Trebuchet MS" w:cs="Trebuchet MS"/>
          <w:b/>
          <w:bCs/>
          <w:color w:val="000000" w:themeColor="text1"/>
        </w:rPr>
        <w:t xml:space="preserve">Sample QI Activity – Adult Medicine </w:t>
      </w:r>
    </w:p>
    <w:p w14:paraId="39193B28" w14:textId="77777777" w:rsidR="007053C6" w:rsidRDefault="007053C6" w:rsidP="007053C6">
      <w:pPr>
        <w:rPr>
          <w:rFonts w:eastAsia="Trebuchet MS" w:cs="Trebuchet MS"/>
          <w:color w:val="000000" w:themeColor="text1"/>
        </w:rPr>
      </w:pPr>
    </w:p>
    <w:p w14:paraId="33D2D709" w14:textId="77777777" w:rsidR="007053C6" w:rsidRDefault="007053C6" w:rsidP="007053C6">
      <w:pPr>
        <w:spacing w:after="240"/>
        <w:rPr>
          <w:rFonts w:eastAsia="Trebuchet MS" w:cs="Trebuchet MS"/>
          <w:color w:val="000000" w:themeColor="text1"/>
        </w:rPr>
      </w:pPr>
      <w:r w:rsidRPr="556D7DB6">
        <w:rPr>
          <w:rFonts w:eastAsia="Trebuchet MS" w:cs="Trebuchet MS"/>
          <w:b/>
          <w:bCs/>
          <w:color w:val="000000" w:themeColor="text1"/>
        </w:rPr>
        <w:t xml:space="preserve">QI activity: </w:t>
      </w:r>
      <w:r w:rsidRPr="00DD4657">
        <w:rPr>
          <w:rFonts w:eastAsia="Trebuchet MS" w:cs="Trebuchet MS"/>
          <w:color w:val="000000" w:themeColor="text1"/>
        </w:rPr>
        <w:t>Controlling High Blood Pressure: Improv</w:t>
      </w:r>
      <w:r>
        <w:rPr>
          <w:rFonts w:eastAsia="Trebuchet MS" w:cs="Trebuchet MS"/>
          <w:color w:val="000000" w:themeColor="text1"/>
        </w:rPr>
        <w:t>e</w:t>
      </w:r>
      <w:r w:rsidRPr="00DD4657">
        <w:rPr>
          <w:rFonts w:eastAsia="Trebuchet MS" w:cs="Trebuchet MS"/>
          <w:color w:val="000000" w:themeColor="text1"/>
        </w:rPr>
        <w:t xml:space="preserve"> clinical workflow </w:t>
      </w:r>
      <w:r>
        <w:rPr>
          <w:rFonts w:eastAsia="Trebuchet MS" w:cs="Trebuchet MS"/>
          <w:color w:val="000000" w:themeColor="text1"/>
        </w:rPr>
        <w:t>&amp;</w:t>
      </w:r>
      <w:r w:rsidRPr="00DD4657">
        <w:rPr>
          <w:rFonts w:eastAsia="Trebuchet MS" w:cs="Trebuchet MS"/>
          <w:color w:val="000000" w:themeColor="text1"/>
        </w:rPr>
        <w:t xml:space="preserve"> CPT II coding integration</w:t>
      </w:r>
    </w:p>
    <w:p w14:paraId="3A9054DA" w14:textId="77777777" w:rsidR="007053C6" w:rsidRDefault="007053C6" w:rsidP="007053C6">
      <w:pPr>
        <w:spacing w:after="240"/>
        <w:rPr>
          <w:rFonts w:eastAsia="Trebuchet MS" w:cs="Trebuchet MS"/>
          <w:color w:val="000000" w:themeColor="text1"/>
        </w:rPr>
      </w:pPr>
      <w:r w:rsidRPr="00DD4657">
        <w:rPr>
          <w:rFonts w:eastAsia="Trebuchet MS" w:cs="Trebuchet MS"/>
          <w:b/>
          <w:bCs/>
          <w:color w:val="000000" w:themeColor="text1"/>
        </w:rPr>
        <w:t>Goal:</w:t>
      </w:r>
      <w:r w:rsidRPr="556D7DB6">
        <w:rPr>
          <w:rFonts w:eastAsia="Trebuchet MS" w:cs="Trebuchet MS"/>
          <w:color w:val="000000" w:themeColor="text1"/>
        </w:rPr>
        <w:t xml:space="preserve"> Increase percentage of adult patients (</w:t>
      </w:r>
      <w:r w:rsidRPr="556D7DB6">
        <w:rPr>
          <w:rFonts w:eastAsia="Trebuchet MS" w:cs="Trebuchet MS"/>
        </w:rPr>
        <w:t xml:space="preserve">ages 18 to </w:t>
      </w:r>
      <w:r w:rsidRPr="556D7DB6">
        <w:rPr>
          <w:rFonts w:eastAsia="Trebuchet MS" w:cs="Trebuchet MS"/>
          <w:color w:val="000000" w:themeColor="text1"/>
        </w:rPr>
        <w:t>85) diagnosed with hypertension who have controlled BP from x to x by December 31</w:t>
      </w:r>
      <w:r w:rsidRPr="556D7DB6">
        <w:rPr>
          <w:rFonts w:eastAsia="Trebuchet MS" w:cs="Trebuchet MS"/>
        </w:rPr>
        <w:t xml:space="preserve">, </w:t>
      </w:r>
      <w:r w:rsidRPr="556D7DB6">
        <w:rPr>
          <w:rFonts w:eastAsia="Trebuchet MS" w:cs="Trebuchet MS"/>
          <w:color w:val="000000" w:themeColor="text1"/>
        </w:rPr>
        <w:t xml:space="preserve">2026. </w:t>
      </w:r>
    </w:p>
    <w:p w14:paraId="4E140E34" w14:textId="77777777" w:rsidR="007053C6" w:rsidRDefault="007053C6" w:rsidP="007053C6">
      <w:pPr>
        <w:rPr>
          <w:rFonts w:eastAsia="Trebuchet MS" w:cs="Trebuchet MS"/>
          <w:color w:val="000000" w:themeColor="text1"/>
        </w:rPr>
      </w:pPr>
      <w:r w:rsidRPr="556D7DB6">
        <w:rPr>
          <w:rFonts w:eastAsia="Trebuchet MS" w:cs="Trebuchet MS"/>
          <w:b/>
          <w:bCs/>
          <w:color w:val="000000" w:themeColor="text1"/>
        </w:rPr>
        <w:t xml:space="preserve">QI activities </w:t>
      </w:r>
      <w:r>
        <w:rPr>
          <w:rFonts w:eastAsia="Trebuchet MS" w:cs="Trebuchet MS"/>
          <w:b/>
          <w:bCs/>
          <w:color w:val="000000" w:themeColor="text1"/>
        </w:rPr>
        <w:t>may</w:t>
      </w:r>
      <w:r w:rsidRPr="556D7DB6">
        <w:rPr>
          <w:rFonts w:eastAsia="Trebuchet MS" w:cs="Trebuchet MS"/>
          <w:b/>
          <w:bCs/>
          <w:color w:val="000000" w:themeColor="text1"/>
        </w:rPr>
        <w:t xml:space="preserve"> include:</w:t>
      </w:r>
    </w:p>
    <w:p w14:paraId="7271C704" w14:textId="77777777" w:rsidR="007053C6" w:rsidRDefault="007053C6" w:rsidP="007053C6">
      <w:pPr>
        <w:pStyle w:val="ListParagraph"/>
        <w:numPr>
          <w:ilvl w:val="0"/>
          <w:numId w:val="1"/>
        </w:numPr>
        <w:rPr>
          <w:rFonts w:eastAsia="Trebuchet MS" w:cs="Trebuchet MS"/>
        </w:rPr>
      </w:pPr>
      <w:r w:rsidRPr="556D7DB6">
        <w:rPr>
          <w:rFonts w:eastAsia="Trebuchet MS" w:cs="Trebuchet MS"/>
          <w:b/>
          <w:bCs/>
          <w:color w:val="000000" w:themeColor="text1"/>
        </w:rPr>
        <w:t>E</w:t>
      </w:r>
      <w:r w:rsidRPr="556D7DB6">
        <w:rPr>
          <w:rFonts w:eastAsia="Trebuchet MS" w:cs="Trebuchet MS"/>
          <w:b/>
          <w:bCs/>
        </w:rPr>
        <w:t xml:space="preserve">stablishing champions and champion continuity </w:t>
      </w:r>
    </w:p>
    <w:p w14:paraId="11ECD466" w14:textId="77777777" w:rsidR="007053C6" w:rsidRDefault="007053C6" w:rsidP="007053C6">
      <w:pPr>
        <w:pStyle w:val="ListParagraph"/>
        <w:numPr>
          <w:ilvl w:val="0"/>
          <w:numId w:val="1"/>
        </w:numPr>
        <w:rPr>
          <w:rFonts w:eastAsia="Trebuchet MS" w:cs="Trebuchet MS"/>
        </w:rPr>
      </w:pPr>
      <w:r w:rsidRPr="556D7DB6">
        <w:rPr>
          <w:rFonts w:eastAsia="Trebuchet MS" w:cs="Trebuchet MS"/>
          <w:b/>
          <w:bCs/>
        </w:rPr>
        <w:t xml:space="preserve">Baseline data review: </w:t>
      </w:r>
      <w:r w:rsidRPr="556D7DB6">
        <w:rPr>
          <w:rFonts w:eastAsia="Trebuchet MS" w:cs="Trebuchet MS"/>
        </w:rPr>
        <w:t xml:space="preserve">CY 2024 </w:t>
      </w:r>
      <w:r>
        <w:rPr>
          <w:rFonts w:eastAsia="Trebuchet MS" w:cs="Trebuchet MS"/>
        </w:rPr>
        <w:t>will</w:t>
      </w:r>
      <w:r w:rsidRPr="556D7DB6">
        <w:rPr>
          <w:rFonts w:eastAsia="Trebuchet MS" w:cs="Trebuchet MS"/>
        </w:rPr>
        <w:t xml:space="preserve"> be provided prior to January 2026. Established opportunities based on HCPF Practice Assessment Tool results</w:t>
      </w:r>
    </w:p>
    <w:p w14:paraId="459D0EC4" w14:textId="77777777" w:rsidR="007053C6" w:rsidRDefault="007053C6" w:rsidP="007053C6">
      <w:pPr>
        <w:pStyle w:val="ListParagraph"/>
        <w:numPr>
          <w:ilvl w:val="1"/>
          <w:numId w:val="1"/>
        </w:numPr>
        <w:rPr>
          <w:rFonts w:eastAsia="Trebuchet MS" w:cs="Trebuchet MS"/>
        </w:rPr>
      </w:pPr>
      <w:r w:rsidRPr="556D7DB6">
        <w:rPr>
          <w:rFonts w:eastAsia="Trebuchet MS" w:cs="Trebuchet MS"/>
        </w:rPr>
        <w:t>January 2026 they can access the Perform+ tool to assess baseline rates by provider and population.</w:t>
      </w:r>
    </w:p>
    <w:p w14:paraId="354C5A82" w14:textId="77777777" w:rsidR="007053C6" w:rsidRDefault="007053C6" w:rsidP="007053C6">
      <w:pPr>
        <w:pStyle w:val="ListParagraph"/>
        <w:numPr>
          <w:ilvl w:val="0"/>
          <w:numId w:val="1"/>
        </w:numPr>
        <w:rPr>
          <w:rFonts w:eastAsia="Trebuchet MS" w:cs="Trebuchet MS"/>
        </w:rPr>
      </w:pPr>
      <w:r w:rsidRPr="556D7DB6">
        <w:rPr>
          <w:rFonts w:eastAsia="Trebuchet MS" w:cs="Trebuchet MS"/>
          <w:b/>
          <w:bCs/>
        </w:rPr>
        <w:t>Workflow optimization</w:t>
      </w:r>
      <w:r w:rsidRPr="556D7DB6">
        <w:rPr>
          <w:rFonts w:eastAsia="Trebuchet MS" w:cs="Trebuchet MS"/>
        </w:rPr>
        <w:t xml:space="preserve">: Determine the appropriate QI tool to support practice (PDSA, root cause analysis, etc.). </w:t>
      </w:r>
    </w:p>
    <w:p w14:paraId="4D38F6E1" w14:textId="77777777" w:rsidR="007053C6" w:rsidRDefault="007053C6" w:rsidP="007053C6">
      <w:pPr>
        <w:pStyle w:val="ListParagraph"/>
        <w:numPr>
          <w:ilvl w:val="1"/>
          <w:numId w:val="1"/>
        </w:numPr>
        <w:rPr>
          <w:rFonts w:eastAsia="Trebuchet MS" w:cs="Trebuchet MS"/>
        </w:rPr>
      </w:pPr>
      <w:r w:rsidRPr="556D7DB6">
        <w:rPr>
          <w:rFonts w:eastAsia="Trebuchet MS" w:cs="Trebuchet MS"/>
        </w:rPr>
        <w:t xml:space="preserve">May include standardized BP re-check for elevated BP in office readings, alerts for uncontrolled BP in the EHR, coding reference guide for clinical staff and providers that align </w:t>
      </w:r>
      <w:r>
        <w:rPr>
          <w:rFonts w:eastAsia="Trebuchet MS" w:cs="Trebuchet MS"/>
        </w:rPr>
        <w:t xml:space="preserve">with </w:t>
      </w:r>
      <w:r w:rsidRPr="556D7DB6">
        <w:rPr>
          <w:rFonts w:eastAsia="Trebuchet MS" w:cs="Trebuchet MS"/>
        </w:rPr>
        <w:t>Healthcare Effectiveness Data and Information Set (HEDIS) reporting requirements (which includes relevant CPT II codes)</w:t>
      </w:r>
    </w:p>
    <w:p w14:paraId="1D6404C9" w14:textId="77777777" w:rsidR="007053C6" w:rsidRDefault="007053C6" w:rsidP="007053C6">
      <w:pPr>
        <w:pStyle w:val="ListParagraph"/>
        <w:numPr>
          <w:ilvl w:val="1"/>
          <w:numId w:val="1"/>
        </w:numPr>
        <w:rPr>
          <w:rFonts w:eastAsia="Trebuchet MS" w:cs="Trebuchet MS"/>
        </w:rPr>
      </w:pPr>
      <w:r w:rsidRPr="556D7DB6">
        <w:rPr>
          <w:rFonts w:eastAsia="Trebuchet MS" w:cs="Trebuchet MS"/>
        </w:rPr>
        <w:t>HIE connection to provider EHRs to supplement claims data received with additional clinical data to help more accurately support quality measures reporting.</w:t>
      </w:r>
    </w:p>
    <w:p w14:paraId="21184DD7" w14:textId="77777777" w:rsidR="007053C6" w:rsidRDefault="007053C6" w:rsidP="007053C6">
      <w:pPr>
        <w:pStyle w:val="ListParagraph"/>
        <w:numPr>
          <w:ilvl w:val="0"/>
          <w:numId w:val="1"/>
        </w:numPr>
        <w:rPr>
          <w:rFonts w:eastAsia="Trebuchet MS" w:cs="Trebuchet MS"/>
        </w:rPr>
      </w:pPr>
      <w:r w:rsidRPr="556D7DB6">
        <w:rPr>
          <w:rFonts w:eastAsia="Trebuchet MS" w:cs="Trebuchet MS"/>
          <w:b/>
          <w:bCs/>
        </w:rPr>
        <w:t xml:space="preserve">Staff education and training: </w:t>
      </w:r>
      <w:r w:rsidRPr="556D7DB6">
        <w:rPr>
          <w:rFonts w:eastAsia="Trebuchet MS" w:cs="Trebuchet MS"/>
        </w:rPr>
        <w:t>Training for clinical and billing staff for the appropriate use of CPT II codes for BP control.</w:t>
      </w:r>
    </w:p>
    <w:p w14:paraId="3C6EFB23" w14:textId="77777777" w:rsidR="007053C6" w:rsidRDefault="007053C6" w:rsidP="007053C6">
      <w:pPr>
        <w:pStyle w:val="ListParagraph"/>
        <w:numPr>
          <w:ilvl w:val="0"/>
          <w:numId w:val="1"/>
        </w:numPr>
        <w:rPr>
          <w:rFonts w:eastAsia="Trebuchet MS" w:cs="Trebuchet MS"/>
          <w:u w:val="single"/>
        </w:rPr>
      </w:pPr>
      <w:r w:rsidRPr="556D7DB6">
        <w:rPr>
          <w:rFonts w:eastAsia="Trebuchet MS" w:cs="Trebuchet MS"/>
          <w:b/>
          <w:bCs/>
        </w:rPr>
        <w:t>Monitoring</w:t>
      </w:r>
      <w:r w:rsidRPr="556D7DB6">
        <w:rPr>
          <w:rFonts w:eastAsia="Trebuchet MS" w:cs="Trebuchet MS"/>
        </w:rPr>
        <w:t>: review trends in the Perform+ tool, CPT coding rates, identify missed coding opportunities in QI meetings.</w:t>
      </w:r>
    </w:p>
    <w:p w14:paraId="08A532E1" w14:textId="77777777" w:rsidR="007053C6" w:rsidRDefault="007053C6" w:rsidP="007053C6">
      <w:pPr>
        <w:pStyle w:val="ListParagraph"/>
        <w:numPr>
          <w:ilvl w:val="0"/>
          <w:numId w:val="1"/>
        </w:numPr>
        <w:spacing w:after="240"/>
        <w:rPr>
          <w:rFonts w:eastAsia="Trebuchet MS" w:cs="Trebuchet MS"/>
          <w:u w:val="single"/>
        </w:rPr>
      </w:pPr>
      <w:r w:rsidRPr="556D7DB6">
        <w:rPr>
          <w:rFonts w:eastAsia="Trebuchet MS" w:cs="Trebuchet MS"/>
          <w:b/>
          <w:bCs/>
        </w:rPr>
        <w:t>Patient engagement</w:t>
      </w:r>
      <w:r w:rsidRPr="556D7DB6">
        <w:rPr>
          <w:rFonts w:eastAsia="Trebuchet MS" w:cs="Trebuchet MS"/>
        </w:rPr>
        <w:t>: Outreach patients with uncontrolled BP for follow up care or care management.</w:t>
      </w:r>
    </w:p>
    <w:p w14:paraId="449D87F4" w14:textId="77777777" w:rsidR="007053C6" w:rsidRDefault="007053C6" w:rsidP="007053C6">
      <w:pPr>
        <w:rPr>
          <w:rFonts w:eastAsia="Trebuchet MS" w:cs="Trebuchet MS"/>
          <w:color w:val="000000" w:themeColor="text1"/>
        </w:rPr>
      </w:pPr>
      <w:r w:rsidRPr="00DD4657">
        <w:rPr>
          <w:rFonts w:eastAsia="Trebuchet MS" w:cs="Trebuchet MS"/>
          <w:b/>
          <w:bCs/>
          <w:color w:val="000000" w:themeColor="text1"/>
        </w:rPr>
        <w:t>Mid-Year goal may include:</w:t>
      </w:r>
      <w:r w:rsidRPr="556D7DB6">
        <w:rPr>
          <w:rFonts w:eastAsia="Trebuchet MS" w:cs="Trebuchet MS"/>
          <w:color w:val="000000" w:themeColor="text1"/>
        </w:rPr>
        <w:t xml:space="preserve"> </w:t>
      </w:r>
    </w:p>
    <w:p w14:paraId="6A75678A" w14:textId="77777777" w:rsidR="007053C6" w:rsidRDefault="007053C6" w:rsidP="007053C6">
      <w:pPr>
        <w:rPr>
          <w:rFonts w:eastAsia="Trebuchet MS" w:cs="Trebuchet MS"/>
          <w:color w:val="000000" w:themeColor="text1"/>
        </w:rPr>
      </w:pPr>
      <w:r w:rsidRPr="556D7DB6">
        <w:rPr>
          <w:rFonts w:eastAsia="Trebuchet MS" w:cs="Trebuchet MS"/>
          <w:color w:val="000000" w:themeColor="text1"/>
        </w:rPr>
        <w:t>CPT II workflow implementation in which a standardized workflow has been developed and implemented to ensure CPT II codes are used to capture BP control at point of care or that there are now alerts in the EHR, and charting guidance to support clinical staff.</w:t>
      </w:r>
    </w:p>
    <w:p w14:paraId="35121969" w14:textId="77777777" w:rsidR="007053C6" w:rsidRDefault="007053C6" w:rsidP="007053C6">
      <w:pPr>
        <w:rPr>
          <w:rFonts w:eastAsia="Trebuchet MS" w:cs="Trebuchet MS"/>
          <w:color w:val="000000" w:themeColor="text1"/>
        </w:rPr>
      </w:pPr>
    </w:p>
    <w:p w14:paraId="359BC49F" w14:textId="77777777" w:rsidR="007053C6" w:rsidRDefault="007053C6" w:rsidP="007053C6">
      <w:pPr>
        <w:rPr>
          <w:rFonts w:eastAsia="Trebuchet MS" w:cs="Trebuchet MS"/>
          <w:color w:val="000000" w:themeColor="text1"/>
        </w:rPr>
      </w:pPr>
    </w:p>
    <w:p w14:paraId="787D603A" w14:textId="77777777" w:rsidR="006868E7" w:rsidRDefault="006868E7"/>
    <w:sectPr w:rsidR="006868E7" w:rsidSect="008F3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8FBEF"/>
    <w:multiLevelType w:val="hybridMultilevel"/>
    <w:tmpl w:val="0C5C8D98"/>
    <w:lvl w:ilvl="0" w:tplc="7A6C24CC">
      <w:start w:val="1"/>
      <w:numFmt w:val="bullet"/>
      <w:lvlText w:val=""/>
      <w:lvlJc w:val="left"/>
      <w:pPr>
        <w:ind w:left="720" w:hanging="360"/>
      </w:pPr>
      <w:rPr>
        <w:rFonts w:ascii="Symbol" w:hAnsi="Symbol" w:hint="default"/>
      </w:rPr>
    </w:lvl>
    <w:lvl w:ilvl="1" w:tplc="046E627E">
      <w:start w:val="1"/>
      <w:numFmt w:val="bullet"/>
      <w:lvlText w:val="o"/>
      <w:lvlJc w:val="left"/>
      <w:pPr>
        <w:ind w:left="1440" w:hanging="360"/>
      </w:pPr>
      <w:rPr>
        <w:rFonts w:ascii="Courier New" w:hAnsi="Courier New" w:hint="default"/>
      </w:rPr>
    </w:lvl>
    <w:lvl w:ilvl="2" w:tplc="D4BE0034">
      <w:start w:val="1"/>
      <w:numFmt w:val="bullet"/>
      <w:lvlText w:val=""/>
      <w:lvlJc w:val="left"/>
      <w:pPr>
        <w:ind w:left="2160" w:hanging="360"/>
      </w:pPr>
      <w:rPr>
        <w:rFonts w:ascii="Wingdings" w:hAnsi="Wingdings" w:hint="default"/>
      </w:rPr>
    </w:lvl>
    <w:lvl w:ilvl="3" w:tplc="1262A39E">
      <w:start w:val="1"/>
      <w:numFmt w:val="bullet"/>
      <w:lvlText w:val=""/>
      <w:lvlJc w:val="left"/>
      <w:pPr>
        <w:ind w:left="2880" w:hanging="360"/>
      </w:pPr>
      <w:rPr>
        <w:rFonts w:ascii="Symbol" w:hAnsi="Symbol" w:hint="default"/>
      </w:rPr>
    </w:lvl>
    <w:lvl w:ilvl="4" w:tplc="977E6570">
      <w:start w:val="1"/>
      <w:numFmt w:val="bullet"/>
      <w:lvlText w:val="o"/>
      <w:lvlJc w:val="left"/>
      <w:pPr>
        <w:ind w:left="3600" w:hanging="360"/>
      </w:pPr>
      <w:rPr>
        <w:rFonts w:ascii="Courier New" w:hAnsi="Courier New" w:hint="default"/>
      </w:rPr>
    </w:lvl>
    <w:lvl w:ilvl="5" w:tplc="D4647CF0">
      <w:start w:val="1"/>
      <w:numFmt w:val="bullet"/>
      <w:lvlText w:val=""/>
      <w:lvlJc w:val="left"/>
      <w:pPr>
        <w:ind w:left="4320" w:hanging="360"/>
      </w:pPr>
      <w:rPr>
        <w:rFonts w:ascii="Wingdings" w:hAnsi="Wingdings" w:hint="default"/>
      </w:rPr>
    </w:lvl>
    <w:lvl w:ilvl="6" w:tplc="8522D326">
      <w:start w:val="1"/>
      <w:numFmt w:val="bullet"/>
      <w:lvlText w:val=""/>
      <w:lvlJc w:val="left"/>
      <w:pPr>
        <w:ind w:left="5040" w:hanging="360"/>
      </w:pPr>
      <w:rPr>
        <w:rFonts w:ascii="Symbol" w:hAnsi="Symbol" w:hint="default"/>
      </w:rPr>
    </w:lvl>
    <w:lvl w:ilvl="7" w:tplc="01021A22">
      <w:start w:val="1"/>
      <w:numFmt w:val="bullet"/>
      <w:lvlText w:val="o"/>
      <w:lvlJc w:val="left"/>
      <w:pPr>
        <w:ind w:left="5760" w:hanging="360"/>
      </w:pPr>
      <w:rPr>
        <w:rFonts w:ascii="Courier New" w:hAnsi="Courier New" w:hint="default"/>
      </w:rPr>
    </w:lvl>
    <w:lvl w:ilvl="8" w:tplc="04B4BE4C">
      <w:start w:val="1"/>
      <w:numFmt w:val="bullet"/>
      <w:lvlText w:val=""/>
      <w:lvlJc w:val="left"/>
      <w:pPr>
        <w:ind w:left="6480" w:hanging="360"/>
      </w:pPr>
      <w:rPr>
        <w:rFonts w:ascii="Wingdings" w:hAnsi="Wingdings" w:hint="default"/>
      </w:rPr>
    </w:lvl>
  </w:abstractNum>
  <w:num w:numId="1" w16cid:durableId="1345940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C6"/>
    <w:rsid w:val="0000057C"/>
    <w:rsid w:val="00046C79"/>
    <w:rsid w:val="00067105"/>
    <w:rsid w:val="000776D6"/>
    <w:rsid w:val="001B1B2B"/>
    <w:rsid w:val="0052518E"/>
    <w:rsid w:val="005E2ADF"/>
    <w:rsid w:val="006868E7"/>
    <w:rsid w:val="007053C6"/>
    <w:rsid w:val="007F54A1"/>
    <w:rsid w:val="008B6AFD"/>
    <w:rsid w:val="008F3934"/>
    <w:rsid w:val="00C1424F"/>
    <w:rsid w:val="00DA58FC"/>
    <w:rsid w:val="00E2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EE0257"/>
  <w14:defaultImageDpi w14:val="32767"/>
  <w15:chartTrackingRefBased/>
  <w15:docId w15:val="{A51681A9-9058-A341-B066-3F7FF251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053C6"/>
    <w:pPr>
      <w:spacing w:after="0" w:line="240" w:lineRule="auto"/>
    </w:pPr>
    <w:rPr>
      <w:rFonts w:ascii="Trebuchet MS" w:eastAsia="Times New Roman" w:hAnsi="Trebuchet MS" w:cs="Times New Roman"/>
      <w:kern w:val="0"/>
      <w14:ligatures w14:val="none"/>
    </w:rPr>
  </w:style>
  <w:style w:type="paragraph" w:styleId="Heading1">
    <w:name w:val="heading 1"/>
    <w:basedOn w:val="Normal"/>
    <w:next w:val="Normal"/>
    <w:link w:val="Heading1Char"/>
    <w:uiPriority w:val="9"/>
    <w:qFormat/>
    <w:rsid w:val="00705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3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3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3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3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3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3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3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3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3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3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3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3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3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3C6"/>
    <w:rPr>
      <w:rFonts w:eastAsiaTheme="majorEastAsia" w:cstheme="majorBidi"/>
      <w:color w:val="272727" w:themeColor="text1" w:themeTint="D8"/>
    </w:rPr>
  </w:style>
  <w:style w:type="paragraph" w:styleId="Title">
    <w:name w:val="Title"/>
    <w:basedOn w:val="Normal"/>
    <w:next w:val="Normal"/>
    <w:link w:val="TitleChar"/>
    <w:uiPriority w:val="10"/>
    <w:qFormat/>
    <w:rsid w:val="007053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3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3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3C6"/>
    <w:pPr>
      <w:spacing w:before="160"/>
      <w:jc w:val="center"/>
    </w:pPr>
    <w:rPr>
      <w:i/>
      <w:iCs/>
      <w:color w:val="404040" w:themeColor="text1" w:themeTint="BF"/>
    </w:rPr>
  </w:style>
  <w:style w:type="character" w:customStyle="1" w:styleId="QuoteChar">
    <w:name w:val="Quote Char"/>
    <w:basedOn w:val="DefaultParagraphFont"/>
    <w:link w:val="Quote"/>
    <w:uiPriority w:val="29"/>
    <w:rsid w:val="007053C6"/>
    <w:rPr>
      <w:i/>
      <w:iCs/>
      <w:color w:val="404040" w:themeColor="text1" w:themeTint="BF"/>
    </w:rPr>
  </w:style>
  <w:style w:type="paragraph" w:styleId="ListParagraph">
    <w:name w:val="List Paragraph"/>
    <w:basedOn w:val="Normal"/>
    <w:uiPriority w:val="34"/>
    <w:qFormat/>
    <w:rsid w:val="007053C6"/>
    <w:pPr>
      <w:ind w:left="720"/>
      <w:contextualSpacing/>
    </w:pPr>
  </w:style>
  <w:style w:type="character" w:styleId="IntenseEmphasis">
    <w:name w:val="Intense Emphasis"/>
    <w:basedOn w:val="DefaultParagraphFont"/>
    <w:uiPriority w:val="21"/>
    <w:qFormat/>
    <w:rsid w:val="007053C6"/>
    <w:rPr>
      <w:i/>
      <w:iCs/>
      <w:color w:val="0F4761" w:themeColor="accent1" w:themeShade="BF"/>
    </w:rPr>
  </w:style>
  <w:style w:type="paragraph" w:styleId="IntenseQuote">
    <w:name w:val="Intense Quote"/>
    <w:basedOn w:val="Normal"/>
    <w:next w:val="Normal"/>
    <w:link w:val="IntenseQuoteChar"/>
    <w:uiPriority w:val="30"/>
    <w:qFormat/>
    <w:rsid w:val="00705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3C6"/>
    <w:rPr>
      <w:i/>
      <w:iCs/>
      <w:color w:val="0F4761" w:themeColor="accent1" w:themeShade="BF"/>
    </w:rPr>
  </w:style>
  <w:style w:type="character" w:styleId="IntenseReference">
    <w:name w:val="Intense Reference"/>
    <w:basedOn w:val="DefaultParagraphFont"/>
    <w:uiPriority w:val="32"/>
    <w:qFormat/>
    <w:rsid w:val="00705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1537</Characters>
  <Application>Microsoft Office Word</Application>
  <DocSecurity>0</DocSecurity>
  <Lines>35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Gottsman</dc:creator>
  <cp:keywords/>
  <dc:description/>
  <cp:lastModifiedBy>ALlyson Gottsman</cp:lastModifiedBy>
  <cp:revision>2</cp:revision>
  <dcterms:created xsi:type="dcterms:W3CDTF">2025-09-09T23:41:00Z</dcterms:created>
  <dcterms:modified xsi:type="dcterms:W3CDTF">2025-09-09T23:41:00Z</dcterms:modified>
</cp:coreProperties>
</file>