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C1" w:rsidRDefault="00EB6CC1" w:rsidP="00EB6CC1">
      <w:pPr>
        <w:widowControl w:val="0"/>
        <w:autoSpaceDE w:val="0"/>
        <w:autoSpaceDN w:val="0"/>
        <w:adjustRightInd w:val="0"/>
        <w:spacing w:after="280"/>
        <w:rPr>
          <w:rFonts w:ascii="Trebuchet MS" w:hAnsi="Trebuchet MS" w:cs="Trebuchet MS"/>
          <w:color w:val="5A5B5D"/>
          <w:sz w:val="28"/>
          <w:szCs w:val="28"/>
        </w:rPr>
      </w:pPr>
      <w:r>
        <w:rPr>
          <w:rFonts w:ascii="Trebuchet MS" w:hAnsi="Trebuchet MS" w:cs="Trebuchet MS"/>
          <w:b/>
          <w:bCs/>
          <w:i/>
          <w:iCs/>
          <w:color w:val="5A5B5D"/>
          <w:sz w:val="28"/>
          <w:szCs w:val="28"/>
        </w:rPr>
        <w:t>Glossary of PCMH Acronyms and Terms</w:t>
      </w:r>
      <w:r>
        <w:rPr>
          <w:rFonts w:ascii="Trebuchet MS" w:hAnsi="Trebuchet MS" w:cs="Trebuchet MS"/>
          <w:color w:val="5A5B5D"/>
          <w:sz w:val="28"/>
          <w:szCs w:val="28"/>
        </w:rPr>
        <w:t> </w:t>
      </w:r>
    </w:p>
    <w:p w:rsidR="00EB6CC1" w:rsidRPr="00EB6CC1" w:rsidRDefault="00EB6CC1" w:rsidP="00EB6CC1">
      <w:pPr>
        <w:widowControl w:val="0"/>
        <w:autoSpaceDE w:val="0"/>
        <w:autoSpaceDN w:val="0"/>
        <w:adjustRightInd w:val="0"/>
        <w:spacing w:after="280"/>
        <w:rPr>
          <w:rFonts w:ascii="Trebuchet MS" w:hAnsi="Trebuchet MS" w:cs="Trebuchet MS"/>
          <w:color w:val="5A5B5D"/>
          <w:sz w:val="20"/>
          <w:szCs w:val="28"/>
        </w:rPr>
      </w:pPr>
      <w:proofErr w:type="gramStart"/>
      <w:r>
        <w:rPr>
          <w:rFonts w:ascii="Trebuchet MS" w:hAnsi="Trebuchet MS" w:cs="Trebuchet MS"/>
          <w:color w:val="5A5B5D"/>
          <w:sz w:val="20"/>
          <w:szCs w:val="28"/>
        </w:rPr>
        <w:t>adapted</w:t>
      </w:r>
      <w:proofErr w:type="gramEnd"/>
      <w:r>
        <w:rPr>
          <w:rFonts w:ascii="Trebuchet MS" w:hAnsi="Trebuchet MS" w:cs="Trebuchet MS"/>
          <w:color w:val="5A5B5D"/>
          <w:sz w:val="20"/>
          <w:szCs w:val="28"/>
        </w:rPr>
        <w:t xml:space="preserve"> from: </w:t>
      </w:r>
      <w:r w:rsidRPr="00EB6CC1">
        <w:rPr>
          <w:rFonts w:ascii="Trebuchet MS" w:hAnsi="Trebuchet MS" w:cs="Trebuchet MS"/>
          <w:color w:val="5A5B5D"/>
          <w:sz w:val="20"/>
          <w:szCs w:val="28"/>
        </w:rPr>
        <w:t>http://www.mclaren.org/MPHO/glossaryoftermsmpho.aspx</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PCMH – Patient Centered Medical </w:t>
      </w:r>
      <w:proofErr w:type="spellStart"/>
      <w:r>
        <w:rPr>
          <w:rFonts w:ascii="Trebuchet MS" w:hAnsi="Trebuchet MS" w:cs="Trebuchet MS"/>
          <w:b/>
          <w:bCs/>
          <w:color w:val="5A5B5D"/>
          <w:sz w:val="28"/>
          <w:szCs w:val="28"/>
        </w:rPr>
        <w:t>Home </w:t>
      </w:r>
      <w:r>
        <w:rPr>
          <w:rFonts w:ascii="Trebuchet MS" w:hAnsi="Trebuchet MS" w:cs="Trebuchet MS"/>
          <w:color w:val="5A5B5D"/>
          <w:sz w:val="28"/>
          <w:szCs w:val="28"/>
        </w:rPr>
        <w:t>A</w:t>
      </w:r>
      <w:proofErr w:type="spellEnd"/>
      <w:r>
        <w:rPr>
          <w:rFonts w:ascii="Trebuchet MS" w:hAnsi="Trebuchet MS" w:cs="Trebuchet MS"/>
          <w:color w:val="5A5B5D"/>
          <w:sz w:val="28"/>
          <w:szCs w:val="28"/>
        </w:rPr>
        <w:t xml:space="preserve"> health care setting that facilitates a philosophy of a strong patient-physician relationship which actively engages the patient in their healthcare provides comprehensive healthcare and works towards achieving wellness.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PCMH-N – Patient Centered Medical Home-</w:t>
      </w:r>
      <w:proofErr w:type="spellStart"/>
      <w:r>
        <w:rPr>
          <w:rFonts w:ascii="Trebuchet MS" w:hAnsi="Trebuchet MS" w:cs="Trebuchet MS"/>
          <w:b/>
          <w:bCs/>
          <w:color w:val="5A5B5D"/>
          <w:sz w:val="28"/>
          <w:szCs w:val="28"/>
        </w:rPr>
        <w:t>Neighborhood </w:t>
      </w:r>
      <w:r>
        <w:rPr>
          <w:rFonts w:ascii="Trebuchet MS" w:hAnsi="Trebuchet MS" w:cs="Trebuchet MS"/>
          <w:color w:val="5A5B5D"/>
          <w:sz w:val="28"/>
          <w:szCs w:val="28"/>
        </w:rPr>
        <w:t>An</w:t>
      </w:r>
      <w:proofErr w:type="spellEnd"/>
      <w:r>
        <w:rPr>
          <w:rFonts w:ascii="Trebuchet MS" w:hAnsi="Trebuchet MS" w:cs="Trebuchet MS"/>
          <w:color w:val="5A5B5D"/>
          <w:sz w:val="28"/>
          <w:szCs w:val="28"/>
        </w:rPr>
        <w:t xml:space="preserve"> extension of Patient Centered Medical Home into Specialties and Sub-specialist fields which includes a strong PCP/Specialist relationship to ensure communication and outcomes of mutual patients.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PO – Physician Organization  </w:t>
      </w:r>
      <w:r>
        <w:rPr>
          <w:rFonts w:ascii="Trebuchet MS" w:hAnsi="Trebuchet MS" w:cs="Trebuchet MS"/>
          <w:color w:val="5A5B5D"/>
          <w:sz w:val="28"/>
          <w:szCs w:val="28"/>
        </w:rPr>
        <w:t>An organization that partners with physicians or is a group of physicians that works with health plans on contracts and other mutual interests (i.e. incentive programs, transition programs, etc.) of their organization.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PHO – Physician Hospital </w:t>
      </w:r>
      <w:proofErr w:type="spellStart"/>
      <w:r>
        <w:rPr>
          <w:rFonts w:ascii="Trebuchet MS" w:hAnsi="Trebuchet MS" w:cs="Trebuchet MS"/>
          <w:b/>
          <w:bCs/>
          <w:color w:val="5A5B5D"/>
          <w:sz w:val="28"/>
          <w:szCs w:val="28"/>
        </w:rPr>
        <w:t>Organization </w:t>
      </w:r>
      <w:r>
        <w:rPr>
          <w:rFonts w:ascii="Trebuchet MS" w:hAnsi="Trebuchet MS" w:cs="Trebuchet MS"/>
          <w:color w:val="5A5B5D"/>
          <w:sz w:val="28"/>
          <w:szCs w:val="28"/>
        </w:rPr>
        <w:t>An</w:t>
      </w:r>
      <w:proofErr w:type="spellEnd"/>
      <w:r>
        <w:rPr>
          <w:rFonts w:ascii="Trebuchet MS" w:hAnsi="Trebuchet MS" w:cs="Trebuchet MS"/>
          <w:color w:val="5A5B5D"/>
          <w:sz w:val="28"/>
          <w:szCs w:val="28"/>
        </w:rPr>
        <w:t xml:space="preserve"> organization that partners with physicians and hospitals in order to obtain payer contracts and to further mutual interests (i.e. incentive programs, transition programs, etc.) within integrated delivery systems.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SRD – Self Reporting </w:t>
      </w:r>
      <w:proofErr w:type="spellStart"/>
      <w:r>
        <w:rPr>
          <w:rFonts w:ascii="Trebuchet MS" w:hAnsi="Trebuchet MS" w:cs="Trebuchet MS"/>
          <w:b/>
          <w:bCs/>
          <w:color w:val="5A5B5D"/>
          <w:sz w:val="28"/>
          <w:szCs w:val="28"/>
        </w:rPr>
        <w:t>Data </w:t>
      </w:r>
      <w:r>
        <w:rPr>
          <w:rFonts w:ascii="Trebuchet MS" w:hAnsi="Trebuchet MS" w:cs="Trebuchet MS"/>
          <w:color w:val="5A5B5D"/>
          <w:sz w:val="28"/>
          <w:szCs w:val="28"/>
        </w:rPr>
        <w:t>Twice</w:t>
      </w:r>
      <w:proofErr w:type="spellEnd"/>
      <w:r>
        <w:rPr>
          <w:rFonts w:ascii="Trebuchet MS" w:hAnsi="Trebuchet MS" w:cs="Trebuchet MS"/>
          <w:color w:val="5A5B5D"/>
          <w:sz w:val="28"/>
          <w:szCs w:val="28"/>
        </w:rPr>
        <w:t xml:space="preserve"> a year (summer and winter) BCBSM requires PO/PHO to conduct assessments for PGIP participating offices which include review of office demographic information, office technology and PCMH initiative implantation within the office. This data is linked to PCMH nomination, PCMH designations and PGIP incentive monies.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PU - Practice </w:t>
      </w:r>
      <w:proofErr w:type="spellStart"/>
      <w:r>
        <w:rPr>
          <w:rFonts w:ascii="Trebuchet MS" w:hAnsi="Trebuchet MS" w:cs="Trebuchet MS"/>
          <w:b/>
          <w:bCs/>
          <w:color w:val="5A5B5D"/>
          <w:sz w:val="28"/>
          <w:szCs w:val="28"/>
        </w:rPr>
        <w:t>Unit </w:t>
      </w:r>
      <w:r>
        <w:rPr>
          <w:rFonts w:ascii="Trebuchet MS" w:hAnsi="Trebuchet MS" w:cs="Trebuchet MS"/>
          <w:color w:val="5A5B5D"/>
          <w:sz w:val="28"/>
          <w:szCs w:val="28"/>
        </w:rPr>
        <w:t>The</w:t>
      </w:r>
      <w:proofErr w:type="spellEnd"/>
      <w:r>
        <w:rPr>
          <w:rFonts w:ascii="Trebuchet MS" w:hAnsi="Trebuchet MS" w:cs="Trebuchet MS"/>
          <w:color w:val="5A5B5D"/>
          <w:sz w:val="28"/>
          <w:szCs w:val="28"/>
        </w:rPr>
        <w:t xml:space="preserve"> identification of a practice within the PGIP program.  </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PCMH </w:t>
      </w:r>
      <w:proofErr w:type="spellStart"/>
      <w:r>
        <w:rPr>
          <w:rFonts w:ascii="Trebuchet MS" w:hAnsi="Trebuchet MS" w:cs="Trebuchet MS"/>
          <w:b/>
          <w:bCs/>
          <w:color w:val="5A5B5D"/>
          <w:sz w:val="28"/>
          <w:szCs w:val="28"/>
        </w:rPr>
        <w:t>Nomination </w:t>
      </w:r>
      <w:r>
        <w:rPr>
          <w:rFonts w:ascii="Trebuchet MS" w:hAnsi="Trebuchet MS" w:cs="Trebuchet MS"/>
          <w:color w:val="5A5B5D"/>
          <w:sz w:val="28"/>
          <w:szCs w:val="28"/>
        </w:rPr>
        <w:t>An</w:t>
      </w:r>
      <w:proofErr w:type="spellEnd"/>
      <w:r>
        <w:rPr>
          <w:rFonts w:ascii="Trebuchet MS" w:hAnsi="Trebuchet MS" w:cs="Trebuchet MS"/>
          <w:color w:val="5A5B5D"/>
          <w:sz w:val="28"/>
          <w:szCs w:val="28"/>
        </w:rPr>
        <w:t xml:space="preserve"> office in PCMH nomination status is requesting review by BCBSM for PCMH Designation. An office can be nominated through their PGIP participating PO/PHO during the BCBSM Winter SRD submission.</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PCMH </w:t>
      </w:r>
      <w:proofErr w:type="spellStart"/>
      <w:r>
        <w:rPr>
          <w:rFonts w:ascii="Trebuchet MS" w:hAnsi="Trebuchet MS" w:cs="Trebuchet MS"/>
          <w:b/>
          <w:bCs/>
          <w:color w:val="5A5B5D"/>
          <w:sz w:val="28"/>
          <w:szCs w:val="28"/>
        </w:rPr>
        <w:t>Designation</w:t>
      </w:r>
      <w:r>
        <w:rPr>
          <w:rFonts w:ascii="Trebuchet MS" w:hAnsi="Trebuchet MS" w:cs="Trebuchet MS"/>
          <w:color w:val="5A5B5D"/>
          <w:sz w:val="28"/>
          <w:szCs w:val="28"/>
        </w:rPr>
        <w:t> An</w:t>
      </w:r>
      <w:proofErr w:type="spellEnd"/>
      <w:r>
        <w:rPr>
          <w:rFonts w:ascii="Trebuchet MS" w:hAnsi="Trebuchet MS" w:cs="Trebuchet MS"/>
          <w:color w:val="5A5B5D"/>
          <w:sz w:val="28"/>
          <w:szCs w:val="28"/>
        </w:rPr>
        <w:t xml:space="preserve"> office achieving PCMH designation has been reviewed and approved by </w:t>
      </w:r>
      <w:proofErr w:type="spellStart"/>
      <w:r>
        <w:rPr>
          <w:rFonts w:ascii="Trebuchet MS" w:hAnsi="Trebuchet MS" w:cs="Trebuchet MS"/>
          <w:color w:val="5A5B5D"/>
          <w:sz w:val="28"/>
          <w:szCs w:val="28"/>
        </w:rPr>
        <w:t>BCBSM’s</w:t>
      </w:r>
      <w:proofErr w:type="spellEnd"/>
      <w:r>
        <w:rPr>
          <w:rFonts w:ascii="Trebuchet MS" w:hAnsi="Trebuchet MS" w:cs="Trebuchet MS"/>
          <w:color w:val="5A5B5D"/>
          <w:sz w:val="28"/>
          <w:szCs w:val="28"/>
        </w:rPr>
        <w:t xml:space="preserve"> methodology for PCMH status. PCMH designation is in place for one year. Designations are typically announced after the Summer SRD submission, usually early June.</w:t>
      </w:r>
    </w:p>
    <w:p w:rsid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 xml:space="preserve">P4P or Pay for </w:t>
      </w:r>
      <w:proofErr w:type="spellStart"/>
      <w:r>
        <w:rPr>
          <w:rFonts w:ascii="Trebuchet MS" w:hAnsi="Trebuchet MS" w:cs="Trebuchet MS"/>
          <w:b/>
          <w:bCs/>
          <w:color w:val="5A5B5D"/>
          <w:sz w:val="28"/>
          <w:szCs w:val="28"/>
        </w:rPr>
        <w:t>Performance </w:t>
      </w:r>
      <w:r>
        <w:rPr>
          <w:rFonts w:ascii="Trebuchet MS" w:hAnsi="Trebuchet MS" w:cs="Trebuchet MS"/>
          <w:color w:val="5A5B5D"/>
          <w:sz w:val="28"/>
          <w:szCs w:val="28"/>
        </w:rPr>
        <w:t>Claim</w:t>
      </w:r>
      <w:proofErr w:type="spellEnd"/>
      <w:r>
        <w:rPr>
          <w:rFonts w:ascii="Trebuchet MS" w:hAnsi="Trebuchet MS" w:cs="Trebuchet MS"/>
          <w:color w:val="5A5B5D"/>
          <w:sz w:val="28"/>
          <w:szCs w:val="28"/>
        </w:rPr>
        <w:t xml:space="preserve"> payments based on quality and utilization scoring determined by the health plan. (</w:t>
      </w:r>
      <w:r>
        <w:rPr>
          <w:rFonts w:ascii="Trebuchet MS" w:hAnsi="Trebuchet MS" w:cs="Trebuchet MS"/>
          <w:b/>
          <w:bCs/>
          <w:i/>
          <w:iCs/>
          <w:color w:val="5A5B5D"/>
          <w:sz w:val="28"/>
          <w:szCs w:val="28"/>
        </w:rPr>
        <w:t>Quality</w:t>
      </w:r>
      <w:r>
        <w:rPr>
          <w:rFonts w:ascii="Trebuchet MS" w:hAnsi="Trebuchet MS" w:cs="Trebuchet MS"/>
          <w:color w:val="5A5B5D"/>
          <w:sz w:val="28"/>
          <w:szCs w:val="28"/>
        </w:rPr>
        <w:t xml:space="preserve"> based payment structure)</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color w:val="5A5B5D"/>
          <w:sz w:val="28"/>
          <w:szCs w:val="28"/>
        </w:rPr>
      </w:pPr>
      <w:r>
        <w:rPr>
          <w:rFonts w:ascii="Trebuchet MS" w:hAnsi="Trebuchet MS" w:cs="Trebuchet MS"/>
          <w:b/>
          <w:bCs/>
          <w:color w:val="5A5B5D"/>
          <w:sz w:val="28"/>
          <w:szCs w:val="28"/>
        </w:rPr>
        <w:t>Fee for Service</w:t>
      </w:r>
      <w:r>
        <w:rPr>
          <w:rFonts w:ascii="Trebuchet MS" w:hAnsi="Trebuchet MS" w:cs="Trebuchet MS"/>
          <w:color w:val="5A5B5D"/>
          <w:sz w:val="28"/>
          <w:szCs w:val="28"/>
        </w:rPr>
        <w:t xml:space="preserve"> </w:t>
      </w:r>
      <w:r w:rsidRPr="00EB6CC1">
        <w:rPr>
          <w:rFonts w:ascii="Trebuchet MS" w:hAnsi="Trebuchet MS" w:cs="Trebuchet MS"/>
          <w:color w:val="5A5B5D"/>
          <w:sz w:val="28"/>
          <w:szCs w:val="28"/>
        </w:rPr>
        <w:t>Claim payments based on each individual service preformed for the patient. (</w:t>
      </w:r>
      <w:r w:rsidRPr="00EB6CC1">
        <w:rPr>
          <w:rFonts w:ascii="Trebuchet MS" w:hAnsi="Trebuchet MS" w:cs="Trebuchet MS"/>
          <w:b/>
          <w:bCs/>
          <w:i/>
          <w:iCs/>
          <w:color w:val="5A5B5D"/>
          <w:sz w:val="28"/>
          <w:szCs w:val="28"/>
        </w:rPr>
        <w:t xml:space="preserve">Quantity </w:t>
      </w:r>
      <w:r w:rsidRPr="00EB6CC1">
        <w:rPr>
          <w:rFonts w:ascii="Trebuchet MS" w:hAnsi="Trebuchet MS" w:cs="Trebuchet MS"/>
          <w:color w:val="5A5B5D"/>
          <w:sz w:val="28"/>
          <w:szCs w:val="28"/>
        </w:rPr>
        <w:t>based payment structure)</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EBCR- Evidence Based Care Reporting </w:t>
      </w:r>
      <w:r w:rsidRPr="00EB6CC1">
        <w:rPr>
          <w:rFonts w:ascii="Trebuchet MS" w:hAnsi="Trebuchet MS" w:cs="Trebuchet MS"/>
          <w:color w:val="5A5B5D"/>
          <w:sz w:val="28"/>
          <w:szCs w:val="28"/>
        </w:rPr>
        <w:t>Reports that include preventative and disease specific metrics that are guided by evidence based medicine. MQIC and HEDIS are the main source for EBCR guidelines.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proofErr w:type="gramStart"/>
      <w:r>
        <w:rPr>
          <w:rFonts w:ascii="Trebuchet MS" w:hAnsi="Trebuchet MS" w:cs="Trebuchet MS"/>
          <w:b/>
          <w:bCs/>
          <w:color w:val="5A5B5D"/>
          <w:sz w:val="28"/>
          <w:szCs w:val="28"/>
        </w:rPr>
        <w:t xml:space="preserve">GDR- Generic Dispensing Rate </w:t>
      </w:r>
      <w:r w:rsidRPr="00EB6CC1">
        <w:rPr>
          <w:rFonts w:ascii="Trebuchet MS" w:hAnsi="Trebuchet MS" w:cs="Trebuchet MS"/>
          <w:color w:val="5A5B5D"/>
          <w:sz w:val="28"/>
          <w:szCs w:val="28"/>
        </w:rPr>
        <w:t>This rate is generated by reviewing the use of generic medication vs. name brand medication</w:t>
      </w:r>
      <w:proofErr w:type="gramEnd"/>
      <w:r w:rsidRPr="00EB6CC1">
        <w:rPr>
          <w:rFonts w:ascii="Trebuchet MS" w:hAnsi="Trebuchet MS" w:cs="Trebuchet MS"/>
          <w:color w:val="5A5B5D"/>
          <w:sz w:val="28"/>
          <w:szCs w:val="28"/>
        </w:rPr>
        <w:t>.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Patient Registry </w:t>
      </w:r>
      <w:r w:rsidRPr="00EB6CC1">
        <w:rPr>
          <w:rFonts w:ascii="Trebuchet MS" w:hAnsi="Trebuchet MS" w:cs="Trebuchet MS"/>
          <w:color w:val="5A5B5D"/>
          <w:sz w:val="28"/>
          <w:szCs w:val="28"/>
        </w:rPr>
        <w:t>An electronic registry system (</w:t>
      </w:r>
      <w:proofErr w:type="spellStart"/>
      <w:r w:rsidRPr="00EB6CC1">
        <w:rPr>
          <w:rFonts w:ascii="Trebuchet MS" w:hAnsi="Trebuchet MS" w:cs="Trebuchet MS"/>
          <w:color w:val="5A5B5D"/>
          <w:sz w:val="28"/>
          <w:szCs w:val="28"/>
        </w:rPr>
        <w:t>i.e.Cielo</w:t>
      </w:r>
      <w:proofErr w:type="spellEnd"/>
      <w:r w:rsidRPr="00EB6CC1">
        <w:rPr>
          <w:rFonts w:ascii="Trebuchet MS" w:hAnsi="Trebuchet MS" w:cs="Trebuchet MS"/>
          <w:color w:val="5A5B5D"/>
          <w:sz w:val="28"/>
          <w:szCs w:val="28"/>
        </w:rPr>
        <w:t xml:space="preserve"> or </w:t>
      </w:r>
      <w:proofErr w:type="spellStart"/>
      <w:r w:rsidRPr="00EB6CC1">
        <w:rPr>
          <w:rFonts w:ascii="Trebuchet MS" w:hAnsi="Trebuchet MS" w:cs="Trebuchet MS"/>
          <w:color w:val="5A5B5D"/>
          <w:sz w:val="28"/>
          <w:szCs w:val="28"/>
        </w:rPr>
        <w:t>WellCentive</w:t>
      </w:r>
      <w:proofErr w:type="spellEnd"/>
      <w:r w:rsidRPr="00EB6CC1">
        <w:rPr>
          <w:rFonts w:ascii="Trebuchet MS" w:hAnsi="Trebuchet MS" w:cs="Trebuchet MS"/>
          <w:color w:val="5A5B5D"/>
          <w:sz w:val="28"/>
          <w:szCs w:val="28"/>
        </w:rPr>
        <w:t xml:space="preserve">) that allows a practice to easily look at their entire patient population. This allows the practice to drill down to areas of success as well as focus areas through reporting capabilities such as gaps in care. A “gaps” in care report allows the practice to identify patients that are missing services or will be due for services based on </w:t>
      </w:r>
      <w:proofErr w:type="gramStart"/>
      <w:r w:rsidRPr="00EB6CC1">
        <w:rPr>
          <w:rFonts w:ascii="Trebuchet MS" w:hAnsi="Trebuchet MS" w:cs="Trebuchet MS"/>
          <w:color w:val="5A5B5D"/>
          <w:sz w:val="28"/>
          <w:szCs w:val="28"/>
        </w:rPr>
        <w:t>evidence based</w:t>
      </w:r>
      <w:proofErr w:type="gramEnd"/>
      <w:r w:rsidRPr="00EB6CC1">
        <w:rPr>
          <w:rFonts w:ascii="Trebuchet MS" w:hAnsi="Trebuchet MS" w:cs="Trebuchet MS"/>
          <w:color w:val="5A5B5D"/>
          <w:sz w:val="28"/>
          <w:szCs w:val="28"/>
        </w:rPr>
        <w:t xml:space="preserve"> guidelines.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MU - Meaningful </w:t>
      </w:r>
      <w:proofErr w:type="gramStart"/>
      <w:r>
        <w:rPr>
          <w:rFonts w:ascii="Trebuchet MS" w:hAnsi="Trebuchet MS" w:cs="Trebuchet MS"/>
          <w:b/>
          <w:bCs/>
          <w:color w:val="5A5B5D"/>
          <w:sz w:val="28"/>
          <w:szCs w:val="28"/>
        </w:rPr>
        <w:t xml:space="preserve">Use  </w:t>
      </w:r>
      <w:r w:rsidRPr="00EB6CC1">
        <w:rPr>
          <w:rFonts w:ascii="Trebuchet MS" w:hAnsi="Trebuchet MS" w:cs="Trebuchet MS"/>
          <w:color w:val="5A5B5D"/>
          <w:sz w:val="28"/>
          <w:szCs w:val="28"/>
        </w:rPr>
        <w:t>Is</w:t>
      </w:r>
      <w:proofErr w:type="gramEnd"/>
      <w:r w:rsidRPr="00EB6CC1">
        <w:rPr>
          <w:rFonts w:ascii="Trebuchet MS" w:hAnsi="Trebuchet MS" w:cs="Trebuchet MS"/>
          <w:color w:val="5A5B5D"/>
          <w:sz w:val="28"/>
          <w:szCs w:val="28"/>
        </w:rPr>
        <w:t xml:space="preserve"> the use of certified electronic health record (EHR) technology to; improve quality, safety, efficiency, and reduce health disparities, engage patients and family in their health care improve care coordination, and population and public health, and maintain privacy and security of patient health information. There are specific meaningful use guidelines, criteria, and processes that eligible providers and hospitals must achieve in order to receive CMS (Center for Medicare and Medicaid) meaningful use incentive monies.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proofErr w:type="gramStart"/>
      <w:r>
        <w:rPr>
          <w:rFonts w:ascii="Trebuchet MS" w:hAnsi="Trebuchet MS" w:cs="Trebuchet MS"/>
          <w:b/>
          <w:bCs/>
          <w:color w:val="5A5B5D"/>
          <w:sz w:val="28"/>
          <w:szCs w:val="28"/>
        </w:rPr>
        <w:t>e</w:t>
      </w:r>
      <w:proofErr w:type="gramEnd"/>
      <w:r>
        <w:rPr>
          <w:rFonts w:ascii="Trebuchet MS" w:hAnsi="Trebuchet MS" w:cs="Trebuchet MS"/>
          <w:b/>
          <w:bCs/>
          <w:color w:val="5A5B5D"/>
          <w:sz w:val="28"/>
          <w:szCs w:val="28"/>
        </w:rPr>
        <w:t xml:space="preserve">-Scribe - Electronic prescription ordering  </w:t>
      </w:r>
      <w:r w:rsidRPr="00EB6CC1">
        <w:rPr>
          <w:rFonts w:ascii="Trebuchet MS" w:hAnsi="Trebuchet MS" w:cs="Trebuchet MS"/>
          <w:color w:val="5A5B5D"/>
          <w:sz w:val="28"/>
          <w:szCs w:val="28"/>
        </w:rPr>
        <w:t>A software program that allows a physician to electronically send a patient’s prescription to a pharmacy. Other features of an e-Scribe program include: review of medication formularies, alerts to adverse reactions, alerts to allergies, alerts to drug to drug interactions, printable list of medication reconciliation for the patient.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Patient Portal </w:t>
      </w:r>
      <w:r w:rsidRPr="00EB6CC1">
        <w:rPr>
          <w:rFonts w:ascii="Trebuchet MS" w:hAnsi="Trebuchet MS" w:cs="Trebuchet MS"/>
          <w:color w:val="5A5B5D"/>
          <w:sz w:val="28"/>
          <w:szCs w:val="28"/>
        </w:rPr>
        <w:t xml:space="preserve">A secure </w:t>
      </w:r>
      <w:proofErr w:type="gramStart"/>
      <w:r w:rsidRPr="00EB6CC1">
        <w:rPr>
          <w:rFonts w:ascii="Trebuchet MS" w:hAnsi="Trebuchet MS" w:cs="Trebuchet MS"/>
          <w:color w:val="5A5B5D"/>
          <w:sz w:val="28"/>
          <w:szCs w:val="28"/>
        </w:rPr>
        <w:t>internet</w:t>
      </w:r>
      <w:proofErr w:type="gramEnd"/>
      <w:r w:rsidRPr="00EB6CC1">
        <w:rPr>
          <w:rFonts w:ascii="Trebuchet MS" w:hAnsi="Trebuchet MS" w:cs="Trebuchet MS"/>
          <w:color w:val="5A5B5D"/>
          <w:sz w:val="28"/>
          <w:szCs w:val="28"/>
        </w:rPr>
        <w:t xml:space="preserve"> option for patients to communicate with their physician’s office. Patients may have the options; enter their demographic information, schedule appointments, request a medication refill, review test results, email their physician and/or physician team, or even have an e-Visit with their physician.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Hospital Portal </w:t>
      </w:r>
      <w:r w:rsidRPr="00EB6CC1">
        <w:rPr>
          <w:rFonts w:ascii="Trebuchet MS" w:hAnsi="Trebuchet MS" w:cs="Trebuchet MS"/>
          <w:color w:val="5A5B5D"/>
          <w:sz w:val="28"/>
          <w:szCs w:val="28"/>
        </w:rPr>
        <w:t>A secure internet option for physician practices to review and/or print their patient’s records including; hospitalization records, laboratory results, diagnostic testing, progress notes, discharge summaries etc. from their local hospital(s).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Mid-level Provider </w:t>
      </w:r>
      <w:r w:rsidRPr="00EB6CC1">
        <w:rPr>
          <w:rFonts w:ascii="Trebuchet MS" w:hAnsi="Trebuchet MS" w:cs="Trebuchet MS"/>
          <w:color w:val="5A5B5D"/>
          <w:sz w:val="28"/>
          <w:szCs w:val="28"/>
        </w:rPr>
        <w:t xml:space="preserve">A Nurse Practitioner or Physician Assistant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PCMH re-designated practice </w:t>
      </w:r>
      <w:r w:rsidRPr="00EB6CC1">
        <w:rPr>
          <w:rFonts w:ascii="Trebuchet MS" w:hAnsi="Trebuchet MS" w:cs="Trebuchet MS"/>
          <w:color w:val="5A5B5D"/>
          <w:sz w:val="28"/>
          <w:szCs w:val="28"/>
        </w:rPr>
        <w:t>A practice unit that was previously PCMH designated under the BCBSM PCMH program and continues to meet criteria to be a PCMH designated practice under the program’s methodology. </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PCMH de-designated practice </w:t>
      </w:r>
      <w:r w:rsidRPr="00EB6CC1">
        <w:rPr>
          <w:rFonts w:ascii="Trebuchet MS" w:hAnsi="Trebuchet MS" w:cs="Trebuchet MS"/>
          <w:color w:val="5A5B5D"/>
          <w:sz w:val="28"/>
          <w:szCs w:val="28"/>
        </w:rPr>
        <w:t>A practice unit that was previously PCMH designated under the BCBSM PCMH program that no longer meets criteria to be re-designated as a PCMH practice under the program’s methodology.</w:t>
      </w:r>
    </w:p>
    <w:p w:rsidR="00EB6CC1" w:rsidRPr="00EB6CC1" w:rsidRDefault="00EB6CC1" w:rsidP="00EB6CC1">
      <w:pPr>
        <w:widowControl w:val="0"/>
        <w:numPr>
          <w:ilvl w:val="0"/>
          <w:numId w:val="1"/>
        </w:numPr>
        <w:tabs>
          <w:tab w:val="left" w:pos="220"/>
          <w:tab w:val="left" w:pos="720"/>
        </w:tabs>
        <w:autoSpaceDE w:val="0"/>
        <w:autoSpaceDN w:val="0"/>
        <w:adjustRightInd w:val="0"/>
        <w:ind w:hanging="720"/>
        <w:rPr>
          <w:rFonts w:ascii="Trebuchet MS" w:hAnsi="Trebuchet MS" w:cs="Trebuchet MS"/>
          <w:b/>
          <w:bCs/>
          <w:color w:val="5A5B5D"/>
          <w:sz w:val="28"/>
          <w:szCs w:val="28"/>
        </w:rPr>
      </w:pPr>
      <w:r>
        <w:rPr>
          <w:rFonts w:ascii="Trebuchet MS" w:hAnsi="Trebuchet MS" w:cs="Trebuchet MS"/>
          <w:b/>
          <w:bCs/>
          <w:color w:val="5A5B5D"/>
          <w:sz w:val="28"/>
          <w:szCs w:val="28"/>
        </w:rPr>
        <w:t xml:space="preserve">HEDIS guidelines (Healthcare Effectiveness Data &amp; Information Set) </w:t>
      </w:r>
      <w:r w:rsidRPr="00EB6CC1">
        <w:rPr>
          <w:rFonts w:ascii="Trebuchet MS" w:hAnsi="Trebuchet MS" w:cs="Trebuchet MS"/>
          <w:color w:val="5A5B5D"/>
          <w:sz w:val="28"/>
          <w:szCs w:val="28"/>
        </w:rPr>
        <w:t>A set of standardized performance measures that assess the quality of health care much like a report card.  </w:t>
      </w:r>
    </w:p>
    <w:p w:rsidR="001D7466" w:rsidRDefault="00EB6CC1"/>
    <w:sectPr w:rsidR="001D7466" w:rsidSect="001D74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CC1"/>
    <w:rsid w:val="00EB6CC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4319</Characters>
  <Application>Microsoft Macintosh Word</Application>
  <DocSecurity>0</DocSecurity>
  <Lines>35</Lines>
  <Paragraphs>8</Paragraphs>
  <ScaleCrop>false</ScaleCrop>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Falardeau</dc:creator>
  <cp:keywords/>
  <cp:lastModifiedBy>Aimee Falardeau</cp:lastModifiedBy>
  <cp:revision>1</cp:revision>
  <cp:lastPrinted>2013-09-09T12:47:00Z</cp:lastPrinted>
  <dcterms:created xsi:type="dcterms:W3CDTF">2013-09-09T12:44:00Z</dcterms:created>
  <dcterms:modified xsi:type="dcterms:W3CDTF">2013-09-09T12:47:00Z</dcterms:modified>
</cp:coreProperties>
</file>