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1549" w14:textId="77777777" w:rsidR="00FC73D0" w:rsidRPr="00FC73D0" w:rsidRDefault="00660E1C">
      <w:pPr>
        <w:pStyle w:val="BodyText"/>
        <w:tabs>
          <w:tab w:val="left" w:pos="1566"/>
          <w:tab w:val="left" w:pos="1599"/>
        </w:tabs>
        <w:spacing w:before="72" w:line="480" w:lineRule="auto"/>
        <w:ind w:left="160" w:right="3236" w:firstLine="0"/>
      </w:pPr>
      <w:r>
        <w:t>TO:</w:t>
      </w:r>
      <w:r>
        <w:tab/>
      </w:r>
      <w:r>
        <w:tab/>
        <w:t>Co-Chairs, Faculty</w:t>
      </w:r>
      <w:r>
        <w:rPr>
          <w:spacing w:val="-9"/>
        </w:rPr>
        <w:t xml:space="preserve"> </w:t>
      </w:r>
      <w:r>
        <w:t>Promotions</w:t>
      </w:r>
      <w:r>
        <w:rPr>
          <w:spacing w:val="-2"/>
        </w:rPr>
        <w:t xml:space="preserve"> </w:t>
      </w:r>
      <w:r>
        <w:t>Committee 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24FDA6FA" w:rsidR="007032BF" w:rsidRDefault="00660E1C">
      <w:pPr>
        <w:tabs>
          <w:tab w:val="left" w:pos="1599"/>
        </w:tabs>
        <w:spacing w:before="10"/>
        <w:ind w:left="1600" w:right="1316" w:hanging="1440"/>
        <w:rPr>
          <w:sz w:val="24"/>
        </w:rPr>
      </w:pPr>
      <w:r w:rsidRPr="00FC73D0">
        <w:rPr>
          <w:sz w:val="24"/>
        </w:rPr>
        <w:t>SUBJECT:</w:t>
      </w:r>
      <w:r w:rsidRPr="00FC73D0">
        <w:rPr>
          <w:sz w:val="24"/>
        </w:rPr>
        <w:tab/>
        <w:t xml:space="preserve">Promotion of </w:t>
      </w:r>
      <w:r w:rsidR="00FC73D0" w:rsidRPr="00FC73D0">
        <w:rPr>
          <w:iCs/>
          <w:sz w:val="24"/>
        </w:rPr>
        <w:t>Paul Walker</w:t>
      </w:r>
      <w:r w:rsidRPr="00FC73D0">
        <w:rPr>
          <w:i/>
          <w:sz w:val="24"/>
        </w:rPr>
        <w:t xml:space="preserve">, </w:t>
      </w:r>
      <w:r w:rsidR="00B81DA2">
        <w:rPr>
          <w:iCs/>
          <w:sz w:val="24"/>
        </w:rPr>
        <w:t>PhD</w:t>
      </w:r>
      <w:r w:rsidR="00FC73D0" w:rsidRPr="00FC73D0">
        <w:rPr>
          <w:iCs/>
          <w:sz w:val="24"/>
        </w:rPr>
        <w:t>,</w:t>
      </w:r>
      <w:r w:rsidRPr="00FC73D0">
        <w:rPr>
          <w:i/>
          <w:sz w:val="24"/>
        </w:rPr>
        <w:t xml:space="preserve"> </w:t>
      </w:r>
      <w:r w:rsidRPr="00FC73D0">
        <w:rPr>
          <w:sz w:val="24"/>
        </w:rPr>
        <w:t xml:space="preserve">to </w:t>
      </w:r>
      <w:r w:rsidR="00B81DA2">
        <w:rPr>
          <w:sz w:val="24"/>
        </w:rPr>
        <w:t xml:space="preserve">Research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w:t>
      </w:r>
      <w:r w:rsidR="0038008E">
        <w:rPr>
          <w:sz w:val="24"/>
        </w:rPr>
        <w:t>D</w:t>
      </w:r>
      <w:r w:rsidRPr="00FC73D0">
        <w:rPr>
          <w:sz w:val="24"/>
        </w:rPr>
        <w:t xml:space="preserve">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7ACD1C19" w:rsidR="007032BF" w:rsidRDefault="00FC73D0">
      <w:pPr>
        <w:pStyle w:val="BodyText"/>
        <w:spacing w:before="90"/>
        <w:ind w:left="160" w:firstLine="0"/>
      </w:pPr>
      <w:r>
        <w:t>Paul Walker,</w:t>
      </w:r>
      <w:r w:rsidR="00660E1C">
        <w:t xml:space="preserve"> </w:t>
      </w:r>
      <w:r w:rsidR="00B81DA2">
        <w:t>PhD</w:t>
      </w:r>
      <w:r w:rsidR="00660E1C">
        <w:t xml:space="preserve"> is currently an </w:t>
      </w:r>
      <w:r w:rsidR="00B81DA2">
        <w:t>Ass</w:t>
      </w:r>
      <w:r w:rsidR="007057F6">
        <w:t>ociate</w:t>
      </w:r>
      <w:r w:rsidR="00B81DA2">
        <w:t xml:space="preserve"> Research</w:t>
      </w:r>
      <w:r w:rsidR="0038008E">
        <w:t xml:space="preserve"> </w:t>
      </w:r>
      <w:r w:rsidR="00660E1C">
        <w:t xml:space="preserve">Professor in the Department of </w:t>
      </w:r>
      <w:r>
        <w:t>Pediatrics</w:t>
      </w:r>
      <w:r w:rsidR="00660E1C">
        <w:t>. He</w:t>
      </w:r>
      <w:r>
        <w:t>/she</w:t>
      </w:r>
      <w:r w:rsidR="00660E1C">
        <w:t xml:space="preserve"> is now applying for </w:t>
      </w:r>
      <w:r>
        <w:t>appointment/</w:t>
      </w:r>
      <w:r w:rsidR="00660E1C">
        <w:t xml:space="preserve">promotion to </w:t>
      </w:r>
      <w:r w:rsidR="00B81DA2">
        <w:t xml:space="preserve">Research </w:t>
      </w:r>
      <w:r w:rsidR="00660E1C">
        <w:t xml:space="preserve">Professor. Our subcommittee included </w:t>
      </w:r>
      <w:r>
        <w:t xml:space="preserve">Wesley Jackson, MD, and Jane Smith, MD, </w:t>
      </w:r>
      <w:r w:rsidR="00660E1C">
        <w:t>(Chair); we shared assessments by email.</w:t>
      </w:r>
    </w:p>
    <w:p w14:paraId="5352D9C3" w14:textId="77777777" w:rsidR="007032BF" w:rsidRDefault="007032BF">
      <w:pPr>
        <w:pStyle w:val="BodyText"/>
        <w:spacing w:before="5"/>
        <w:ind w:left="0" w:firstLine="0"/>
      </w:pPr>
    </w:p>
    <w:p w14:paraId="34F7E82A" w14:textId="77777777" w:rsidR="00907DE4" w:rsidRDefault="00907DE4" w:rsidP="00907DE4">
      <w:pPr>
        <w:pStyle w:val="Heading1"/>
        <w:ind w:left="160"/>
        <w:rPr>
          <w:u w:val="none"/>
        </w:rPr>
      </w:pPr>
      <w:r>
        <w:rPr>
          <w:u w:val="thick"/>
        </w:rPr>
        <w:t>Subcommittee Recommendations</w:t>
      </w:r>
    </w:p>
    <w:p w14:paraId="3E77F07B" w14:textId="4F0BEB78" w:rsidR="00907DE4" w:rsidRDefault="00907DE4" w:rsidP="00B81DA2">
      <w:pPr>
        <w:pStyle w:val="BodyText"/>
        <w:spacing w:line="274" w:lineRule="exact"/>
        <w:ind w:left="160" w:firstLine="0"/>
      </w:pPr>
      <w:r>
        <w:t>The subcommittee voted the following:</w:t>
      </w:r>
      <w:r>
        <w:tab/>
      </w:r>
    </w:p>
    <w:p w14:paraId="1A517F58" w14:textId="041158BB" w:rsidR="00907DE4" w:rsidRDefault="00907DE4" w:rsidP="00907DE4">
      <w:pPr>
        <w:pStyle w:val="BodyText"/>
        <w:tabs>
          <w:tab w:val="left" w:pos="3759"/>
        </w:tabs>
        <w:ind w:left="160" w:firstLine="0"/>
      </w:pPr>
      <w:r>
        <w:t>Research: Not Meritorious/Meritorious/Excellent 2 to 0</w:t>
      </w:r>
    </w:p>
    <w:p w14:paraId="438F1295" w14:textId="77777777" w:rsidR="00907DE4" w:rsidRDefault="00907DE4" w:rsidP="00907DE4">
      <w:pPr>
        <w:pStyle w:val="BodyText"/>
        <w:tabs>
          <w:tab w:val="left" w:pos="3759"/>
        </w:tabs>
        <w:ind w:left="160" w:firstLine="0"/>
      </w:pPr>
      <w:r>
        <w:t>Scholarship: Not Meritorious/Meritorious/Excellent 2 to</w:t>
      </w:r>
      <w:r>
        <w:rPr>
          <w:spacing w:val="-5"/>
        </w:rPr>
        <w:t xml:space="preserve"> </w:t>
      </w:r>
      <w:r>
        <w:t>0</w:t>
      </w:r>
    </w:p>
    <w:p w14:paraId="62C8C022" w14:textId="77777777" w:rsidR="00907DE4" w:rsidRDefault="00907DE4" w:rsidP="00907DE4">
      <w:pPr>
        <w:pStyle w:val="BodyText"/>
        <w:tabs>
          <w:tab w:val="left" w:pos="3759"/>
        </w:tabs>
        <w:ind w:left="160" w:firstLine="0"/>
      </w:pPr>
    </w:p>
    <w:p w14:paraId="4A7FC8AB" w14:textId="77777777" w:rsidR="00907DE4" w:rsidRDefault="00907DE4" w:rsidP="00907DE4">
      <w:pPr>
        <w:pStyle w:val="BodyText"/>
        <w:tabs>
          <w:tab w:val="left" w:pos="3759"/>
        </w:tabs>
        <w:ind w:left="160" w:firstLine="0"/>
      </w:pPr>
      <w:r>
        <w:rPr>
          <w:noProof/>
        </w:rPr>
        <mc:AlternateContent>
          <mc:Choice Requires="wps">
            <w:drawing>
              <wp:anchor distT="0" distB="0" distL="114300" distR="114300" simplePos="0" relativeHeight="251659776" behindDoc="0" locked="0" layoutInCell="1" allowOverlap="1" wp14:anchorId="17EE1BEC" wp14:editId="24B1E47C">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No</w:t>
                            </w:r>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E1BEC"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01ADB7AD" w14:textId="77777777" w:rsidR="00907DE4" w:rsidRPr="00C1125A" w:rsidRDefault="00907DE4" w:rsidP="00907DE4">
                      <w:pPr>
                        <w:pStyle w:val="BodyText"/>
                        <w:shd w:val="clear" w:color="auto" w:fill="D9D9D9" w:themeFill="background1" w:themeFillShade="D9"/>
                        <w:tabs>
                          <w:tab w:val="left" w:pos="3759"/>
                        </w:tabs>
                        <w:ind w:left="160" w:firstLine="0"/>
                      </w:pPr>
                      <w:r w:rsidRPr="00C1125A">
                        <w:t>Will the presentation of this dossier be expedited?  Yes</w:t>
                      </w:r>
                      <w:r>
                        <w:t xml:space="preserve"> or </w:t>
                      </w:r>
                      <w:proofErr w:type="gramStart"/>
                      <w:r>
                        <w:t>No</w:t>
                      </w:r>
                      <w:proofErr w:type="gramEnd"/>
                    </w:p>
                    <w:p w14:paraId="006C2931" w14:textId="77777777" w:rsidR="00907DE4" w:rsidRPr="00C1125A" w:rsidRDefault="00907DE4" w:rsidP="00907DE4">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5074E466" w14:textId="77777777" w:rsidR="00907DE4" w:rsidRDefault="00907DE4" w:rsidP="00907DE4">
                      <w:pPr>
                        <w:shd w:val="clear" w:color="auto" w:fill="D9D9D9" w:themeFill="background1" w:themeFillShade="D9"/>
                      </w:pPr>
                    </w:p>
                  </w:txbxContent>
                </v:textbox>
              </v:shape>
            </w:pict>
          </mc:Fallback>
        </mc:AlternateContent>
      </w:r>
    </w:p>
    <w:p w14:paraId="23422CAD" w14:textId="77777777" w:rsidR="00907DE4" w:rsidRDefault="00907DE4" w:rsidP="00907DE4">
      <w:pPr>
        <w:pStyle w:val="BodyText"/>
        <w:spacing w:before="4"/>
        <w:ind w:left="0" w:firstLine="0"/>
      </w:pPr>
    </w:p>
    <w:p w14:paraId="3CB8B98C" w14:textId="77777777" w:rsidR="00907DE4" w:rsidRDefault="00907DE4" w:rsidP="00907DE4">
      <w:pPr>
        <w:pStyle w:val="BodyText"/>
        <w:spacing w:before="90"/>
        <w:ind w:left="160" w:right="469" w:firstLine="0"/>
        <w:rPr>
          <w:u w:val="thick"/>
        </w:rPr>
      </w:pPr>
    </w:p>
    <w:p w14:paraId="15B2FB64" w14:textId="77777777" w:rsidR="00907DE4" w:rsidRDefault="00907DE4" w:rsidP="00907DE4">
      <w:pPr>
        <w:pStyle w:val="BodyText"/>
        <w:spacing w:before="90"/>
        <w:ind w:left="160" w:right="469" w:firstLine="0"/>
        <w:rPr>
          <w:u w:val="thick"/>
        </w:rPr>
      </w:pPr>
    </w:p>
    <w:p w14:paraId="0E62E267" w14:textId="77777777" w:rsidR="00907DE4" w:rsidRDefault="00907DE4" w:rsidP="00907DE4">
      <w:pPr>
        <w:pStyle w:val="BodyText"/>
        <w:spacing w:before="90"/>
        <w:ind w:left="160" w:right="469" w:firstLine="0"/>
        <w:rPr>
          <w:u w:val="thick"/>
        </w:rPr>
      </w:pPr>
    </w:p>
    <w:p w14:paraId="0294504E" w14:textId="77777777" w:rsidR="00907DE4" w:rsidRPr="00492013" w:rsidRDefault="00907DE4" w:rsidP="00907DE4">
      <w:pPr>
        <w:pStyle w:val="BodyText"/>
        <w:spacing w:before="90"/>
        <w:ind w:left="160" w:right="469" w:firstLine="0"/>
        <w:rPr>
          <w:b/>
          <w:bCs/>
          <w:u w:val="thick" w:color="000000"/>
        </w:rPr>
      </w:pPr>
      <w:r w:rsidRPr="00492013">
        <w:rPr>
          <w:b/>
          <w:bCs/>
          <w:u w:val="thick"/>
        </w:rPr>
        <w:t>Biographical and Professional History</w:t>
      </w:r>
    </w:p>
    <w:p w14:paraId="0ED96D5F" w14:textId="77777777" w:rsidR="00907DE4" w:rsidRPr="00CE2D14" w:rsidRDefault="00907DE4" w:rsidP="00907DE4">
      <w:pPr>
        <w:pStyle w:val="BodyText"/>
        <w:spacing w:before="90"/>
        <w:ind w:left="160" w:right="469" w:firstLine="0"/>
        <w:rPr>
          <w:b/>
          <w:bCs/>
          <w:i/>
          <w:iCs/>
        </w:rPr>
      </w:pPr>
      <w:r>
        <w:t xml:space="preserve">We reviewed this faculty member’s biographical and professional history, which was included in the dossier.  </w:t>
      </w:r>
      <w:r w:rsidRPr="00492013">
        <w:rPr>
          <w:i/>
          <w:iCs/>
        </w:rPr>
        <w:t>[Note: the biographical and professional history information can be very brief – one or two sentences.]</w:t>
      </w:r>
    </w:p>
    <w:p w14:paraId="5092A6E7" w14:textId="77777777" w:rsidR="00907DE4" w:rsidRDefault="00907DE4" w:rsidP="00B81DA2">
      <w:pPr>
        <w:pStyle w:val="ListParagraph"/>
        <w:tabs>
          <w:tab w:val="left" w:pos="839"/>
          <w:tab w:val="left" w:pos="840"/>
        </w:tabs>
        <w:spacing w:before="21"/>
        <w:ind w:left="0" w:right="182" w:firstLine="0"/>
        <w:rPr>
          <w:sz w:val="24"/>
        </w:rPr>
      </w:pPr>
    </w:p>
    <w:p w14:paraId="2519DF62" w14:textId="246BF4C0" w:rsidR="00907DE4" w:rsidRDefault="00907DE4" w:rsidP="00907DE4">
      <w:pPr>
        <w:pStyle w:val="Heading1"/>
        <w:rPr>
          <w:u w:val="none"/>
        </w:rPr>
      </w:pPr>
      <w:r>
        <w:rPr>
          <w:u w:val="thick"/>
        </w:rPr>
        <w:t>Service Activities</w:t>
      </w:r>
      <w:r>
        <w:rPr>
          <w:b w:val="0"/>
          <w:bCs w:val="0"/>
          <w:u w:val="none"/>
        </w:rPr>
        <w:t xml:space="preserve"> </w:t>
      </w:r>
      <w:r w:rsidRPr="00492013">
        <w:rPr>
          <w:b w:val="0"/>
          <w:bCs w:val="0"/>
          <w:u w:val="none"/>
        </w:rPr>
        <w:t>- [</w:t>
      </w:r>
      <w:r w:rsidRPr="00492013">
        <w:rPr>
          <w:b w:val="0"/>
          <w:bCs w:val="0"/>
          <w:i/>
          <w:iCs/>
          <w:u w:val="none"/>
        </w:rPr>
        <w:t>Note: You can omit this section if the faculty member did not have service activities and did not submit a Service Portfolio.]</w:t>
      </w:r>
    </w:p>
    <w:p w14:paraId="6C9B88EB" w14:textId="77777777" w:rsidR="00907DE4" w:rsidRDefault="00907DE4" w:rsidP="00907DE4">
      <w:pPr>
        <w:pStyle w:val="BodyText"/>
        <w:ind w:left="119" w:right="143" w:firstLine="0"/>
      </w:pPr>
      <w:r>
        <w:t>The subcommittee rated the candidate’s service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work, innovation and other activities. The Department Advisory Committee rated the candidate as “Meritorious/Excellent” in service.</w:t>
      </w:r>
    </w:p>
    <w:p w14:paraId="25E082CE" w14:textId="77777777" w:rsidR="00907DE4" w:rsidRDefault="00907DE4" w:rsidP="00907DE4">
      <w:pPr>
        <w:pStyle w:val="BodyText"/>
        <w:ind w:left="119" w:right="143" w:firstLine="0"/>
      </w:pPr>
    </w:p>
    <w:p w14:paraId="3106CDD0" w14:textId="77777777" w:rsidR="00907DE4" w:rsidRDefault="00907DE4" w:rsidP="00907DE4">
      <w:pPr>
        <w:pStyle w:val="BodyText"/>
        <w:ind w:left="160" w:right="269" w:firstLine="0"/>
      </w:pPr>
      <w:r>
        <w:t>The subcommittee rating is based on a record of:</w:t>
      </w:r>
    </w:p>
    <w:p w14:paraId="6D126825" w14:textId="77777777" w:rsidR="00907DE4" w:rsidRDefault="00907DE4" w:rsidP="00907DE4">
      <w:pPr>
        <w:pStyle w:val="BodyText"/>
        <w:ind w:left="119" w:right="143" w:firstLine="0"/>
      </w:pPr>
    </w:p>
    <w:p w14:paraId="76324D7F" w14:textId="77777777" w:rsidR="00907DE4" w:rsidRDefault="00907DE4" w:rsidP="00907DE4">
      <w:pPr>
        <w:pStyle w:val="BodyText"/>
        <w:ind w:left="119" w:right="143" w:firstLine="0"/>
      </w:pPr>
      <w:r>
        <w:t>EXAMPLES:</w:t>
      </w:r>
    </w:p>
    <w:p w14:paraId="02D3FD4C"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19A8FF5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03585EF7" w14:textId="77777777" w:rsidR="00907DE4" w:rsidRDefault="00907DE4" w:rsidP="00907DE4">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2C3ECD7B" w14:textId="609F7F8B" w:rsidR="00907DE4" w:rsidRPr="00B81DA2" w:rsidRDefault="00907DE4" w:rsidP="00B81DA2">
      <w:pPr>
        <w:pStyle w:val="ListParagraph"/>
        <w:numPr>
          <w:ilvl w:val="0"/>
          <w:numId w:val="1"/>
        </w:numPr>
        <w:tabs>
          <w:tab w:val="left" w:pos="839"/>
          <w:tab w:val="left" w:pos="840"/>
        </w:tabs>
        <w:spacing w:before="21"/>
        <w:ind w:left="840" w:right="182"/>
        <w:rPr>
          <w:sz w:val="24"/>
          <w:highlight w:val="yellow"/>
        </w:rPr>
      </w:pPr>
      <w:r>
        <w:rPr>
          <w:sz w:val="24"/>
          <w:highlight w:val="yellow"/>
        </w:rPr>
        <w:lastRenderedPageBreak/>
        <w:t>Faculty Senator (4 years)</w:t>
      </w:r>
    </w:p>
    <w:p w14:paraId="005DA26E" w14:textId="77777777" w:rsidR="00907DE4" w:rsidRDefault="00907DE4" w:rsidP="00907DE4">
      <w:pPr>
        <w:pStyle w:val="BodyText"/>
        <w:spacing w:before="1"/>
        <w:ind w:left="0" w:firstLine="0"/>
      </w:pPr>
    </w:p>
    <w:p w14:paraId="1425C477" w14:textId="576967EB" w:rsidR="00907DE4" w:rsidRPr="00C1125A" w:rsidRDefault="00907DE4" w:rsidP="00907DE4">
      <w:pPr>
        <w:pStyle w:val="Heading1"/>
        <w:rPr>
          <w:i/>
          <w:iCs/>
          <w:u w:val="none"/>
        </w:rPr>
      </w:pPr>
      <w:r>
        <w:rPr>
          <w:u w:val="thick"/>
        </w:rPr>
        <w:t>Research Activities (Scholarship of Discovery)</w:t>
      </w:r>
      <w:r w:rsidRPr="00492013">
        <w:rPr>
          <w:b w:val="0"/>
          <w:bCs w:val="0"/>
          <w:u w:val="none"/>
        </w:rPr>
        <w:t xml:space="preserve"> </w:t>
      </w:r>
    </w:p>
    <w:p w14:paraId="07EEBD76" w14:textId="77777777" w:rsidR="00907DE4" w:rsidRDefault="00907DE4" w:rsidP="00907DE4">
      <w:pPr>
        <w:pStyle w:val="BodyText"/>
        <w:ind w:left="120" w:right="143" w:firstLine="0"/>
      </w:pPr>
      <w:r>
        <w:t>The subcommittee rated the candidate’s research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The Department Advisory Committee rated the candidate as “Excellent” in research.</w:t>
      </w:r>
    </w:p>
    <w:p w14:paraId="6CE6FC21" w14:textId="77777777" w:rsidR="00907DE4" w:rsidRDefault="00907DE4" w:rsidP="00907DE4">
      <w:pPr>
        <w:pStyle w:val="BodyText"/>
        <w:ind w:left="120" w:right="143" w:firstLine="0"/>
      </w:pPr>
    </w:p>
    <w:p w14:paraId="74637AE4" w14:textId="77777777" w:rsidR="00907DE4" w:rsidRDefault="00907DE4" w:rsidP="00907DE4">
      <w:pPr>
        <w:pStyle w:val="BodyText"/>
        <w:ind w:left="160" w:right="269" w:firstLine="0"/>
      </w:pPr>
      <w:r>
        <w:t>The subcommittee rating is based on a record of:</w:t>
      </w:r>
    </w:p>
    <w:p w14:paraId="276E753D" w14:textId="77777777" w:rsidR="00907DE4" w:rsidRDefault="00907DE4" w:rsidP="00907DE4">
      <w:pPr>
        <w:pStyle w:val="BodyText"/>
        <w:ind w:left="120" w:right="143" w:firstLine="0"/>
      </w:pPr>
    </w:p>
    <w:p w14:paraId="53947B1A" w14:textId="77777777" w:rsidR="00907DE4" w:rsidRDefault="00907DE4" w:rsidP="00907DE4">
      <w:pPr>
        <w:pStyle w:val="BodyText"/>
        <w:ind w:left="120" w:right="143" w:firstLine="0"/>
      </w:pPr>
      <w:r>
        <w:t>EXAMPLES:</w:t>
      </w:r>
    </w:p>
    <w:p w14:paraId="02437B67" w14:textId="77777777" w:rsidR="00907DE4" w:rsidRPr="00C1125A"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sidRPr="00C1125A">
        <w:rPr>
          <w:sz w:val="24"/>
          <w:highlight w:val="yellow"/>
        </w:rPr>
        <w:t>18 peer-reviewed manuscripts (16 at current rank- 4 as first author), 1 book chapter (sole author, revised once), and 13 abstracts (10 at current rank, 1 first author, 1 senior</w:t>
      </w:r>
      <w:r w:rsidRPr="00C1125A">
        <w:rPr>
          <w:spacing w:val="-4"/>
          <w:sz w:val="24"/>
          <w:highlight w:val="yellow"/>
        </w:rPr>
        <w:t xml:space="preserve"> </w:t>
      </w:r>
      <w:r w:rsidRPr="00C1125A">
        <w:rPr>
          <w:sz w:val="24"/>
          <w:highlight w:val="yellow"/>
        </w:rPr>
        <w:t>author)</w:t>
      </w:r>
    </w:p>
    <w:p w14:paraId="71E1C18E" w14:textId="77777777" w:rsidR="00907DE4" w:rsidRDefault="00907DE4" w:rsidP="00907DE4">
      <w:pPr>
        <w:pStyle w:val="ListParagraph"/>
        <w:numPr>
          <w:ilvl w:val="0"/>
          <w:numId w:val="1"/>
        </w:numPr>
        <w:tabs>
          <w:tab w:val="left" w:pos="839"/>
          <w:tab w:val="left" w:pos="840"/>
        </w:tabs>
        <w:spacing w:before="18" w:line="240" w:lineRule="auto"/>
        <w:ind w:left="839" w:right="433" w:hanging="359"/>
        <w:rPr>
          <w:sz w:val="24"/>
        </w:rPr>
      </w:pPr>
      <w:r>
        <w:rPr>
          <w:sz w:val="24"/>
        </w:rPr>
        <w:t>Identification and in vitro characterization of a new class of dominant-negative mutation in the SAND domain of the human Aire gene seen in autoimmune patients</w:t>
      </w:r>
    </w:p>
    <w:p w14:paraId="7CCB6C0E" w14:textId="77777777" w:rsidR="00907DE4" w:rsidRPr="00C1125A" w:rsidRDefault="00907DE4" w:rsidP="00907DE4">
      <w:pPr>
        <w:pStyle w:val="ListParagraph"/>
        <w:numPr>
          <w:ilvl w:val="0"/>
          <w:numId w:val="1"/>
        </w:numPr>
        <w:tabs>
          <w:tab w:val="left" w:pos="839"/>
          <w:tab w:val="left" w:pos="840"/>
        </w:tabs>
        <w:spacing w:before="18" w:line="240" w:lineRule="auto"/>
        <w:ind w:left="839" w:hanging="359"/>
        <w:rPr>
          <w:sz w:val="24"/>
          <w:highlight w:val="yellow"/>
        </w:rPr>
      </w:pPr>
      <w:r w:rsidRPr="00C1125A">
        <w:rPr>
          <w:sz w:val="24"/>
          <w:highlight w:val="yellow"/>
        </w:rPr>
        <w:t>NIH NIAID K08 award ($923,940) for Aire-SAND</w:t>
      </w:r>
      <w:r w:rsidRPr="00C1125A">
        <w:rPr>
          <w:spacing w:val="-15"/>
          <w:sz w:val="24"/>
          <w:highlight w:val="yellow"/>
        </w:rPr>
        <w:t xml:space="preserve"> </w:t>
      </w:r>
      <w:r w:rsidRPr="00C1125A">
        <w:rPr>
          <w:sz w:val="24"/>
          <w:highlight w:val="yellow"/>
        </w:rPr>
        <w:t>project</w:t>
      </w:r>
    </w:p>
    <w:p w14:paraId="22FD5597" w14:textId="77777777" w:rsidR="00907DE4" w:rsidRPr="00C1125A" w:rsidRDefault="00907DE4" w:rsidP="00907DE4">
      <w:pPr>
        <w:pStyle w:val="ListParagraph"/>
        <w:numPr>
          <w:ilvl w:val="0"/>
          <w:numId w:val="1"/>
        </w:numPr>
        <w:tabs>
          <w:tab w:val="left" w:pos="839"/>
          <w:tab w:val="left" w:pos="840"/>
        </w:tabs>
        <w:spacing w:before="18" w:line="240" w:lineRule="auto"/>
        <w:ind w:left="840"/>
        <w:rPr>
          <w:sz w:val="24"/>
          <w:highlight w:val="yellow"/>
        </w:rPr>
      </w:pPr>
      <w:r w:rsidRPr="00C1125A">
        <w:rPr>
          <w:sz w:val="24"/>
          <w:highlight w:val="yellow"/>
        </w:rPr>
        <w:t>PI on 2 active industry grants ($240,000,</w:t>
      </w:r>
      <w:r w:rsidRPr="00C1125A">
        <w:rPr>
          <w:spacing w:val="-7"/>
          <w:sz w:val="24"/>
          <w:highlight w:val="yellow"/>
        </w:rPr>
        <w:t xml:space="preserve"> </w:t>
      </w:r>
      <w:r w:rsidRPr="00C1125A">
        <w:rPr>
          <w:sz w:val="24"/>
          <w:highlight w:val="yellow"/>
        </w:rPr>
        <w:t>$346,067)</w:t>
      </w:r>
    </w:p>
    <w:p w14:paraId="6BC9491C" w14:textId="77777777" w:rsidR="00907DE4" w:rsidRDefault="00907DE4" w:rsidP="00907DE4">
      <w:pPr>
        <w:pStyle w:val="ListParagraph"/>
        <w:numPr>
          <w:ilvl w:val="0"/>
          <w:numId w:val="1"/>
        </w:numPr>
        <w:tabs>
          <w:tab w:val="left" w:pos="839"/>
          <w:tab w:val="left" w:pos="840"/>
        </w:tabs>
        <w:spacing w:before="21"/>
        <w:ind w:left="840" w:right="766"/>
        <w:rPr>
          <w:sz w:val="24"/>
        </w:rPr>
      </w:pPr>
      <w:r>
        <w:rPr>
          <w:sz w:val="24"/>
        </w:rPr>
        <w:t>Identification of novel genetically-determined immunodeficiency / immune dysregulation</w:t>
      </w:r>
      <w:r>
        <w:rPr>
          <w:spacing w:val="-8"/>
          <w:sz w:val="24"/>
        </w:rPr>
        <w:t xml:space="preserve"> </w:t>
      </w:r>
      <w:r>
        <w:rPr>
          <w:sz w:val="24"/>
        </w:rPr>
        <w:t>syndromes</w:t>
      </w:r>
    </w:p>
    <w:p w14:paraId="2406AD69" w14:textId="77777777" w:rsidR="00907DE4" w:rsidRDefault="00907DE4" w:rsidP="00907DE4">
      <w:pPr>
        <w:spacing w:line="274" w:lineRule="exact"/>
        <w:rPr>
          <w:sz w:val="24"/>
        </w:rPr>
      </w:pPr>
    </w:p>
    <w:p w14:paraId="2F3760E6" w14:textId="77777777" w:rsidR="00907DE4" w:rsidRDefault="00907DE4" w:rsidP="00907DE4">
      <w:pPr>
        <w:spacing w:line="274" w:lineRule="exact"/>
        <w:rPr>
          <w:sz w:val="24"/>
        </w:rPr>
      </w:pPr>
    </w:p>
    <w:p w14:paraId="7A8D2387" w14:textId="26DE157C" w:rsidR="00907DE4" w:rsidRPr="00492013" w:rsidRDefault="00B81DA2" w:rsidP="00907DE4">
      <w:pPr>
        <w:pStyle w:val="Heading1"/>
        <w:rPr>
          <w:b w:val="0"/>
          <w:bCs w:val="0"/>
          <w:i/>
          <w:iCs/>
          <w:u w:val="none"/>
        </w:rPr>
      </w:pPr>
      <w:r>
        <w:rPr>
          <w:u w:val="thick"/>
        </w:rPr>
        <w:t xml:space="preserve">Other </w:t>
      </w:r>
      <w:r w:rsidR="00907DE4">
        <w:rPr>
          <w:u w:val="thick"/>
        </w:rPr>
        <w:t>Scholarship Activities (non-Research Related)</w:t>
      </w:r>
      <w:r w:rsidR="00907DE4" w:rsidRPr="00492013">
        <w:rPr>
          <w:b w:val="0"/>
          <w:bCs w:val="0"/>
          <w:u w:val="none"/>
        </w:rPr>
        <w:t xml:space="preserve"> - [</w:t>
      </w:r>
      <w:r w:rsidR="00907DE4" w:rsidRPr="00492013">
        <w:rPr>
          <w:b w:val="0"/>
          <w:bCs w:val="0"/>
          <w:i/>
          <w:iCs/>
          <w:u w:val="none"/>
        </w:rPr>
        <w:t>Note: You can omit this section if the faculty member did not participate in Other (non-research) Scholarly Activities.]</w:t>
      </w:r>
    </w:p>
    <w:p w14:paraId="1398F94B" w14:textId="77777777" w:rsidR="00907DE4" w:rsidRDefault="00907DE4" w:rsidP="00907DE4">
      <w:pPr>
        <w:pStyle w:val="Heading1"/>
        <w:rPr>
          <w:u w:val="none"/>
        </w:rPr>
      </w:pPr>
    </w:p>
    <w:p w14:paraId="6EA06079" w14:textId="77777777" w:rsidR="00907DE4" w:rsidRDefault="00907DE4" w:rsidP="00907DE4">
      <w:pPr>
        <w:pStyle w:val="BodyText"/>
        <w:ind w:left="120" w:right="143" w:firstLine="0"/>
      </w:pPr>
      <w:r>
        <w:t>The subcommittee rated the candidate’s scholarship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“Meritorious/Excellent” in scholarship.</w:t>
      </w:r>
    </w:p>
    <w:p w14:paraId="19A204EF" w14:textId="77777777" w:rsidR="00907DE4" w:rsidRDefault="00907DE4" w:rsidP="00907DE4">
      <w:pPr>
        <w:pStyle w:val="BodyText"/>
        <w:ind w:left="120" w:right="143" w:firstLine="0"/>
      </w:pPr>
    </w:p>
    <w:p w14:paraId="77A40BC7" w14:textId="77777777" w:rsidR="00907DE4" w:rsidRDefault="00907DE4" w:rsidP="00907DE4">
      <w:pPr>
        <w:pStyle w:val="BodyText"/>
        <w:ind w:left="120" w:right="143" w:firstLine="0"/>
      </w:pPr>
      <w:r>
        <w:t>The subcommittee rating is based on a record of:</w:t>
      </w:r>
    </w:p>
    <w:p w14:paraId="6B64D204" w14:textId="77777777" w:rsidR="00907DE4" w:rsidRDefault="00907DE4" w:rsidP="00907DE4">
      <w:pPr>
        <w:pStyle w:val="BodyText"/>
        <w:ind w:left="120" w:right="143" w:firstLine="0"/>
      </w:pPr>
    </w:p>
    <w:p w14:paraId="15D9E60E" w14:textId="77777777" w:rsidR="00907DE4" w:rsidRDefault="00907DE4" w:rsidP="00907DE4">
      <w:pPr>
        <w:pStyle w:val="BodyText"/>
        <w:ind w:left="120" w:right="143" w:firstLine="0"/>
      </w:pPr>
      <w:r>
        <w:t>EXAMPLES:</w:t>
      </w:r>
    </w:p>
    <w:p w14:paraId="635B71A3"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Pr="00C1125A">
        <w:rPr>
          <w:sz w:val="24"/>
          <w:highlight w:val="yellow"/>
        </w:rPr>
        <w:t xml:space="preserve"> peer-reviewed </w:t>
      </w:r>
      <w:r>
        <w:rPr>
          <w:sz w:val="24"/>
          <w:highlight w:val="yellow"/>
        </w:rPr>
        <w:t>review articles (4 at current rank).</w:t>
      </w:r>
    </w:p>
    <w:p w14:paraId="46237027" w14:textId="77777777" w:rsidR="00907DE4" w:rsidRDefault="00907DE4" w:rsidP="00907DE4">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58925E42"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0236FEDE" w14:textId="77777777" w:rsidR="00907DE4" w:rsidRPr="00A67610" w:rsidRDefault="00907DE4" w:rsidP="00907DE4">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p>
    <w:p w14:paraId="12DC4BEA"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28590B81" w14:textId="77777777" w:rsidR="00907DE4" w:rsidRDefault="00907DE4" w:rsidP="00907DE4">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7B1B26E1" w14:textId="77777777" w:rsidR="00907DE4" w:rsidRDefault="00907DE4" w:rsidP="00907DE4">
      <w:pPr>
        <w:pStyle w:val="BodyText"/>
        <w:spacing w:before="1"/>
        <w:ind w:left="0" w:firstLine="0"/>
      </w:pPr>
    </w:p>
    <w:p w14:paraId="5BAF8FD4" w14:textId="77777777" w:rsidR="00907DE4" w:rsidRDefault="00907DE4" w:rsidP="00907DE4">
      <w:pPr>
        <w:pStyle w:val="Heading1"/>
        <w:rPr>
          <w:u w:val="none"/>
        </w:rPr>
      </w:pPr>
      <w:r>
        <w:rPr>
          <w:u w:val="thick"/>
        </w:rPr>
        <w:lastRenderedPageBreak/>
        <w:t>Department Recommendations</w:t>
      </w:r>
    </w:p>
    <w:p w14:paraId="792DAF39" w14:textId="28A0EA27" w:rsidR="00907DE4" w:rsidRDefault="00907DE4" w:rsidP="00907DE4">
      <w:pPr>
        <w:pStyle w:val="BodyText"/>
        <w:ind w:left="119" w:right="309" w:firstLine="0"/>
      </w:pPr>
      <w:r>
        <w:t>The Chair of the Department of Pediatrics enthusiastically supported the candidate’s promotion to</w:t>
      </w:r>
      <w:r w:rsidR="00B81DA2">
        <w:t xml:space="preserve"> Research</w:t>
      </w:r>
      <w:r>
        <w:t xml:space="preserve"> Professor noting that “Dr. Walker has demonstrated outstanding progress throughout his junior faculty career. He has won research funding, has a strong publication record.” The Departmental Advisory Committee voted 8-0 in favor of promotion, based on excellent research and excellent scholarly activities.</w:t>
      </w:r>
    </w:p>
    <w:p w14:paraId="68A81D88" w14:textId="77777777" w:rsidR="00907DE4" w:rsidRDefault="00907DE4" w:rsidP="00907DE4">
      <w:pPr>
        <w:pStyle w:val="BodyText"/>
        <w:spacing w:before="7"/>
        <w:ind w:left="0" w:firstLine="0"/>
      </w:pPr>
    </w:p>
    <w:p w14:paraId="1481E61E" w14:textId="77777777" w:rsidR="00907DE4" w:rsidRDefault="00907DE4" w:rsidP="00907DE4">
      <w:pPr>
        <w:pStyle w:val="Heading1"/>
        <w:rPr>
          <w:u w:val="none"/>
        </w:rPr>
      </w:pPr>
      <w:r>
        <w:rPr>
          <w:u w:val="thick"/>
        </w:rPr>
        <w:t>Summary and Recommendation</w:t>
      </w:r>
    </w:p>
    <w:p w14:paraId="5665BC1A" w14:textId="48ECCFFE" w:rsidR="00907DE4" w:rsidRDefault="00907DE4" w:rsidP="00907DE4">
      <w:pPr>
        <w:pStyle w:val="BodyText"/>
        <w:ind w:left="120" w:right="683" w:firstLine="0"/>
      </w:pPr>
      <w:r>
        <w:t xml:space="preserve">The subcommittee voted 2 to 0 for promotion to </w:t>
      </w:r>
      <w:r w:rsidR="00B81DA2">
        <w:t xml:space="preserve">Research </w:t>
      </w:r>
      <w:r>
        <w:t>Professor of based on excellent research and excellent scholarly</w:t>
      </w:r>
      <w:r w:rsidR="00B81DA2">
        <w:t>.</w:t>
      </w:r>
    </w:p>
    <w:p w14:paraId="7E9EACAF" w14:textId="3E092B74" w:rsidR="007032BF" w:rsidRDefault="007032BF" w:rsidP="00907DE4">
      <w:pPr>
        <w:pStyle w:val="Heading1"/>
        <w:ind w:left="160"/>
      </w:pPr>
    </w:p>
    <w:sectPr w:rsidR="007032BF" w:rsidSect="00907DE4">
      <w:type w:val="continuous"/>
      <w:pgSz w:w="12240" w:h="15840"/>
      <w:pgMar w:top="136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38008E"/>
    <w:rsid w:val="00660E1C"/>
    <w:rsid w:val="007032BF"/>
    <w:rsid w:val="007057F6"/>
    <w:rsid w:val="00907DE4"/>
    <w:rsid w:val="00B81DA2"/>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3</cp:revision>
  <dcterms:created xsi:type="dcterms:W3CDTF">2021-01-23T16:11:00Z</dcterms:created>
  <dcterms:modified xsi:type="dcterms:W3CDTF">2021-01-23T16:14:00Z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